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1C3" w:rsidRPr="00F0305E" w:rsidRDefault="00C60458" w:rsidP="00F51F3F">
      <w:pPr>
        <w:pStyle w:val="a3"/>
        <w:tabs>
          <w:tab w:val="clear" w:pos="4153"/>
          <w:tab w:val="clear" w:pos="8306"/>
        </w:tabs>
        <w:jc w:val="center"/>
        <w:outlineLvl w:val="0"/>
        <w:rPr>
          <w:rFonts w:ascii="Tahoma" w:hAnsi="Tahoma" w:cs="Tahoma"/>
          <w:b/>
          <w:sz w:val="20"/>
          <w:szCs w:val="20"/>
        </w:rPr>
      </w:pPr>
      <w:r w:rsidRPr="00F0305E">
        <w:rPr>
          <w:rFonts w:ascii="Tahoma" w:hAnsi="Tahoma" w:cs="Tahoma"/>
          <w:b/>
          <w:sz w:val="20"/>
          <w:szCs w:val="20"/>
        </w:rPr>
        <w:t>Λ.</w:t>
      </w:r>
      <w:r w:rsidR="008F3FFD" w:rsidRPr="00F0305E">
        <w:rPr>
          <w:rFonts w:ascii="Tahoma" w:hAnsi="Tahoma" w:cs="Tahoma"/>
          <w:b/>
          <w:sz w:val="20"/>
          <w:szCs w:val="20"/>
          <w:lang w:val="en-US"/>
        </w:rPr>
        <w:t>II</w:t>
      </w:r>
      <w:r w:rsidR="008F3FFD" w:rsidRPr="00F0305E">
        <w:rPr>
          <w:rFonts w:ascii="Tahoma" w:hAnsi="Tahoma" w:cs="Tahoma"/>
          <w:b/>
          <w:sz w:val="20"/>
          <w:szCs w:val="20"/>
        </w:rPr>
        <w:t>.2.7.</w:t>
      </w:r>
      <w:r w:rsidR="000A3E89" w:rsidRPr="00F0305E">
        <w:rPr>
          <w:rFonts w:ascii="Tahoma" w:hAnsi="Tahoma" w:cs="Tahoma"/>
          <w:b/>
          <w:sz w:val="20"/>
          <w:szCs w:val="20"/>
        </w:rPr>
        <w:t xml:space="preserve"> ΛΙΣΤΑ ΕΠΙ ΤΗΣ ΑΡΧΗΣ ΕΓΚΡΙΣΗΣ ΣΤΗΝ ΠΕΡΙΠΤΩΣΗ ΤΟΥ ΑΡΘΡΟΥ 32 ΤΟΥ Ν.</w:t>
      </w:r>
      <w:r w:rsidR="00580A7E" w:rsidRPr="00F0305E">
        <w:rPr>
          <w:rFonts w:ascii="Tahoma" w:hAnsi="Tahoma" w:cs="Tahoma"/>
          <w:b/>
          <w:sz w:val="20"/>
          <w:szCs w:val="20"/>
        </w:rPr>
        <w:t xml:space="preserve"> 4412/2016 ΟΤΑΝ ΔΕΝ ΣΥΝΤΑΣΣΕΤΑΙ</w:t>
      </w:r>
      <w:r w:rsidR="009A6069" w:rsidRPr="00F0305E">
        <w:rPr>
          <w:rFonts w:ascii="Tahoma" w:hAnsi="Tahoma" w:cs="Tahoma"/>
          <w:b/>
          <w:sz w:val="20"/>
          <w:szCs w:val="20"/>
        </w:rPr>
        <w:t xml:space="preserve"> ΠΡΟΣΚΛΗΣΗ</w:t>
      </w:r>
    </w:p>
    <w:p w:rsidR="003D5014" w:rsidRPr="00F0305E" w:rsidRDefault="003D5014" w:rsidP="00F51F3F">
      <w:pPr>
        <w:pStyle w:val="a3"/>
        <w:tabs>
          <w:tab w:val="clear" w:pos="4153"/>
          <w:tab w:val="clear" w:pos="8306"/>
        </w:tabs>
        <w:jc w:val="center"/>
        <w:outlineLvl w:val="0"/>
        <w:rPr>
          <w:rFonts w:ascii="Tahoma" w:hAnsi="Tahoma" w:cs="Tahoma"/>
          <w:b/>
          <w:sz w:val="20"/>
          <w:szCs w:val="20"/>
        </w:rPr>
      </w:pPr>
    </w:p>
    <w:p w:rsidR="003D5014" w:rsidRPr="00F0305E" w:rsidRDefault="003D5014" w:rsidP="00F51F3F">
      <w:pPr>
        <w:pStyle w:val="a3"/>
        <w:tabs>
          <w:tab w:val="clear" w:pos="4153"/>
          <w:tab w:val="clear" w:pos="8306"/>
        </w:tabs>
        <w:jc w:val="center"/>
        <w:outlineLvl w:val="0"/>
        <w:rPr>
          <w:rFonts w:ascii="Tahoma" w:hAnsi="Tahoma" w:cs="Tahoma"/>
          <w:b/>
          <w:sz w:val="20"/>
          <w:szCs w:val="20"/>
        </w:rPr>
      </w:pPr>
    </w:p>
    <w:tbl>
      <w:tblPr>
        <w:tblW w:w="15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
        <w:gridCol w:w="39"/>
        <w:gridCol w:w="4182"/>
        <w:gridCol w:w="71"/>
        <w:gridCol w:w="567"/>
        <w:gridCol w:w="567"/>
        <w:gridCol w:w="850"/>
        <w:gridCol w:w="22"/>
        <w:gridCol w:w="4645"/>
        <w:gridCol w:w="11"/>
        <w:gridCol w:w="2708"/>
        <w:gridCol w:w="680"/>
      </w:tblGrid>
      <w:tr w:rsidR="00F541F3" w:rsidRPr="00F0305E" w:rsidTr="00FF2E2C">
        <w:trPr>
          <w:tblHeader/>
          <w:jc w:val="center"/>
        </w:trPr>
        <w:tc>
          <w:tcPr>
            <w:tcW w:w="665" w:type="dxa"/>
            <w:tcBorders>
              <w:bottom w:val="single" w:sz="4" w:space="0" w:color="auto"/>
            </w:tcBorders>
            <w:shd w:val="clear" w:color="auto" w:fill="D9D9D9"/>
            <w:vAlign w:val="center"/>
          </w:tcPr>
          <w:p w:rsidR="00F541F3" w:rsidRPr="00F0305E" w:rsidRDefault="00F541F3" w:rsidP="000A2573">
            <w:pPr>
              <w:spacing w:before="60" w:after="60" w:line="240" w:lineRule="exact"/>
              <w:jc w:val="center"/>
              <w:rPr>
                <w:rFonts w:ascii="Tahoma" w:hAnsi="Tahoma" w:cs="Tahoma"/>
                <w:b/>
                <w:sz w:val="16"/>
                <w:szCs w:val="16"/>
              </w:rPr>
            </w:pPr>
            <w:r w:rsidRPr="00F0305E">
              <w:rPr>
                <w:rFonts w:ascii="Tahoma" w:hAnsi="Tahoma" w:cs="Tahoma"/>
                <w:b/>
                <w:sz w:val="16"/>
                <w:szCs w:val="16"/>
              </w:rPr>
              <w:t>Α/Α</w:t>
            </w:r>
          </w:p>
        </w:tc>
        <w:tc>
          <w:tcPr>
            <w:tcW w:w="4221" w:type="dxa"/>
            <w:gridSpan w:val="2"/>
            <w:tcBorders>
              <w:bottom w:val="single" w:sz="4" w:space="0" w:color="auto"/>
            </w:tcBorders>
            <w:shd w:val="clear" w:color="auto" w:fill="D9D9D9"/>
            <w:vAlign w:val="center"/>
          </w:tcPr>
          <w:p w:rsidR="00F541F3" w:rsidRPr="00F0305E" w:rsidRDefault="00A03A22" w:rsidP="00A03A22">
            <w:pPr>
              <w:spacing w:before="60" w:after="60" w:line="240" w:lineRule="exact"/>
              <w:jc w:val="center"/>
              <w:rPr>
                <w:rFonts w:ascii="Tahoma" w:hAnsi="Tahoma" w:cs="Tahoma"/>
                <w:b/>
                <w:sz w:val="16"/>
                <w:szCs w:val="16"/>
              </w:rPr>
            </w:pPr>
            <w:r w:rsidRPr="00F0305E">
              <w:rPr>
                <w:rFonts w:ascii="Tahoma" w:hAnsi="Tahoma" w:cs="Tahoma"/>
                <w:b/>
                <w:sz w:val="16"/>
                <w:szCs w:val="16"/>
              </w:rPr>
              <w:t>ΝΟΜΙΚΗ ΒΑΣΗ ΓΙΑ ΤΗ ΔΙΑΠΡΑΓΜΑΤΕΥΣΗ ΧΩΡΙΣ ΔΗΜΟΣΙΕΥΣΗ ΔΙΑΚΗΡΥΞΗΣ</w:t>
            </w:r>
          </w:p>
        </w:tc>
        <w:tc>
          <w:tcPr>
            <w:tcW w:w="638" w:type="dxa"/>
            <w:gridSpan w:val="2"/>
            <w:tcBorders>
              <w:bottom w:val="single" w:sz="4" w:space="0" w:color="auto"/>
            </w:tcBorders>
            <w:shd w:val="clear" w:color="auto" w:fill="D9D9D9"/>
            <w:vAlign w:val="center"/>
          </w:tcPr>
          <w:p w:rsidR="00F541F3" w:rsidRPr="00F0305E" w:rsidRDefault="00F541F3" w:rsidP="00A946D4">
            <w:pPr>
              <w:spacing w:before="60" w:after="60" w:line="240" w:lineRule="exact"/>
              <w:jc w:val="center"/>
              <w:rPr>
                <w:rFonts w:ascii="Tahoma" w:hAnsi="Tahoma" w:cs="Tahoma"/>
                <w:b/>
                <w:sz w:val="16"/>
                <w:szCs w:val="16"/>
              </w:rPr>
            </w:pPr>
            <w:r w:rsidRPr="00F0305E">
              <w:rPr>
                <w:rFonts w:ascii="Tahoma" w:hAnsi="Tahoma" w:cs="Tahoma"/>
                <w:b/>
                <w:sz w:val="16"/>
                <w:szCs w:val="16"/>
              </w:rPr>
              <w:t>ΝΑΙ</w:t>
            </w:r>
          </w:p>
        </w:tc>
        <w:tc>
          <w:tcPr>
            <w:tcW w:w="567" w:type="dxa"/>
            <w:tcBorders>
              <w:bottom w:val="single" w:sz="4" w:space="0" w:color="auto"/>
            </w:tcBorders>
            <w:shd w:val="clear" w:color="auto" w:fill="D9D9D9"/>
            <w:vAlign w:val="center"/>
          </w:tcPr>
          <w:p w:rsidR="00F541F3" w:rsidRPr="00F0305E" w:rsidRDefault="00F541F3" w:rsidP="00A946D4">
            <w:pPr>
              <w:spacing w:before="60" w:after="60" w:line="240" w:lineRule="exact"/>
              <w:jc w:val="center"/>
              <w:rPr>
                <w:rFonts w:ascii="Tahoma" w:hAnsi="Tahoma" w:cs="Tahoma"/>
                <w:b/>
                <w:sz w:val="16"/>
                <w:szCs w:val="16"/>
              </w:rPr>
            </w:pPr>
            <w:r w:rsidRPr="00F0305E">
              <w:rPr>
                <w:rFonts w:ascii="Tahoma" w:hAnsi="Tahoma" w:cs="Tahoma"/>
                <w:b/>
                <w:sz w:val="16"/>
                <w:szCs w:val="16"/>
              </w:rPr>
              <w:t>ΟΧΙ</w:t>
            </w:r>
          </w:p>
        </w:tc>
        <w:tc>
          <w:tcPr>
            <w:tcW w:w="850" w:type="dxa"/>
            <w:tcBorders>
              <w:bottom w:val="single" w:sz="4" w:space="0" w:color="auto"/>
            </w:tcBorders>
            <w:shd w:val="clear" w:color="auto" w:fill="D9D9D9"/>
            <w:vAlign w:val="center"/>
          </w:tcPr>
          <w:p w:rsidR="00F541F3" w:rsidRPr="00F0305E" w:rsidRDefault="00F541F3" w:rsidP="00A946D4">
            <w:pPr>
              <w:spacing w:before="60" w:after="60" w:line="240" w:lineRule="exact"/>
              <w:jc w:val="center"/>
              <w:rPr>
                <w:rFonts w:ascii="Tahoma" w:hAnsi="Tahoma" w:cs="Tahoma"/>
                <w:b/>
                <w:sz w:val="16"/>
                <w:szCs w:val="16"/>
              </w:rPr>
            </w:pPr>
            <w:r w:rsidRPr="00F0305E">
              <w:rPr>
                <w:rFonts w:ascii="Tahoma" w:hAnsi="Tahoma" w:cs="Tahoma"/>
                <w:b/>
                <w:sz w:val="16"/>
                <w:szCs w:val="16"/>
              </w:rPr>
              <w:t>ΔΕΝ ΑΦΟΡΑ</w:t>
            </w:r>
          </w:p>
        </w:tc>
        <w:tc>
          <w:tcPr>
            <w:tcW w:w="4667" w:type="dxa"/>
            <w:gridSpan w:val="2"/>
            <w:tcBorders>
              <w:bottom w:val="single" w:sz="4" w:space="0" w:color="auto"/>
            </w:tcBorders>
            <w:shd w:val="clear" w:color="auto" w:fill="D9D9D9"/>
            <w:vAlign w:val="center"/>
          </w:tcPr>
          <w:p w:rsidR="00F541F3" w:rsidRPr="00F0305E" w:rsidRDefault="00D4246A" w:rsidP="00D4246A">
            <w:pPr>
              <w:spacing w:before="60" w:after="60" w:line="240" w:lineRule="exact"/>
              <w:jc w:val="center"/>
              <w:rPr>
                <w:rFonts w:ascii="Tahoma" w:hAnsi="Tahoma" w:cs="Tahoma"/>
                <w:b/>
                <w:sz w:val="16"/>
                <w:szCs w:val="16"/>
              </w:rPr>
            </w:pPr>
            <w:r w:rsidRPr="00F0305E">
              <w:rPr>
                <w:rFonts w:ascii="Tahoma" w:hAnsi="Tahoma" w:cs="Tahoma"/>
                <w:b/>
                <w:sz w:val="16"/>
                <w:szCs w:val="16"/>
              </w:rPr>
              <w:t>ΔΙΕΥΚΡΙΝΙΣΕΙΣ</w:t>
            </w:r>
          </w:p>
        </w:tc>
        <w:tc>
          <w:tcPr>
            <w:tcW w:w="3394" w:type="dxa"/>
            <w:gridSpan w:val="3"/>
            <w:tcBorders>
              <w:bottom w:val="single" w:sz="4" w:space="0" w:color="auto"/>
            </w:tcBorders>
            <w:shd w:val="clear" w:color="auto" w:fill="D9D9D9"/>
          </w:tcPr>
          <w:p w:rsidR="00F541F3" w:rsidRPr="00F0305E" w:rsidRDefault="00F541F3" w:rsidP="00D4246A">
            <w:pPr>
              <w:spacing w:before="60" w:after="60" w:line="240" w:lineRule="exact"/>
              <w:jc w:val="center"/>
              <w:rPr>
                <w:rFonts w:ascii="Tahoma" w:hAnsi="Tahoma" w:cs="Tahoma"/>
                <w:b/>
                <w:sz w:val="16"/>
                <w:szCs w:val="16"/>
              </w:rPr>
            </w:pPr>
            <w:r w:rsidRPr="00F0305E">
              <w:rPr>
                <w:rFonts w:ascii="Tahoma" w:hAnsi="Tahoma" w:cs="Tahoma"/>
                <w:b/>
                <w:sz w:val="16"/>
                <w:szCs w:val="16"/>
              </w:rPr>
              <w:t>ΤΕΚΜΗΡΙΩ</w:t>
            </w:r>
            <w:r w:rsidR="00D4246A" w:rsidRPr="00F0305E">
              <w:rPr>
                <w:rFonts w:ascii="Tahoma" w:hAnsi="Tahoma" w:cs="Tahoma"/>
                <w:b/>
                <w:sz w:val="16"/>
                <w:szCs w:val="16"/>
              </w:rPr>
              <w:t>ΣΗ ΔΙΚΑΙΟΥΧΟΥ/ ΤΕΚΜΗΡΙΩΣΗ</w:t>
            </w:r>
            <w:r w:rsidRPr="00F0305E">
              <w:rPr>
                <w:rFonts w:ascii="Tahoma" w:hAnsi="Tahoma" w:cs="Tahoma"/>
                <w:b/>
                <w:sz w:val="16"/>
                <w:szCs w:val="16"/>
              </w:rPr>
              <w:t xml:space="preserve"> ΔΑ</w:t>
            </w:r>
          </w:p>
        </w:tc>
      </w:tr>
      <w:tr w:rsidR="0071531C" w:rsidRPr="00F0305E" w:rsidTr="00FF2E2C">
        <w:trPr>
          <w:jc w:val="center"/>
        </w:trPr>
        <w:tc>
          <w:tcPr>
            <w:tcW w:w="15002" w:type="dxa"/>
            <w:gridSpan w:val="12"/>
            <w:shd w:val="clear" w:color="auto" w:fill="D9D9D9"/>
            <w:vAlign w:val="center"/>
          </w:tcPr>
          <w:p w:rsidR="0071531C" w:rsidRPr="00F0305E" w:rsidRDefault="001931E0" w:rsidP="001931E0">
            <w:pPr>
              <w:spacing w:before="60" w:after="60" w:line="240" w:lineRule="exact"/>
              <w:ind w:left="360"/>
              <w:jc w:val="center"/>
              <w:rPr>
                <w:rFonts w:ascii="Tahoma" w:hAnsi="Tahoma" w:cs="Tahoma"/>
                <w:b/>
                <w:bCs/>
                <w:sz w:val="18"/>
                <w:szCs w:val="18"/>
              </w:rPr>
            </w:pPr>
            <w:r w:rsidRPr="00F0305E">
              <w:rPr>
                <w:rFonts w:ascii="Tahoma" w:hAnsi="Tahoma" w:cs="Tahoma"/>
                <w:b/>
                <w:bCs/>
                <w:sz w:val="18"/>
                <w:szCs w:val="18"/>
              </w:rPr>
              <w:t xml:space="preserve">Ι) </w:t>
            </w:r>
            <w:r w:rsidR="00223C37" w:rsidRPr="00F0305E">
              <w:rPr>
                <w:rFonts w:ascii="Tahoma" w:hAnsi="Tahoma" w:cs="Tahoma"/>
                <w:b/>
                <w:bCs/>
                <w:sz w:val="18"/>
                <w:szCs w:val="18"/>
              </w:rPr>
              <w:t>ΥΠΑΓΩΓΗ ΣΕ ΠΕΡΙΠΤΩΣΗ ΤΟΥ ΆΡΘΡΟΥ 32 ΤΟΥ Ν. 4412/2016</w:t>
            </w:r>
          </w:p>
        </w:tc>
      </w:tr>
      <w:tr w:rsidR="008A2D35" w:rsidRPr="00F0305E" w:rsidTr="00FF2E2C">
        <w:trPr>
          <w:jc w:val="center"/>
        </w:trPr>
        <w:tc>
          <w:tcPr>
            <w:tcW w:w="665" w:type="dxa"/>
            <w:vAlign w:val="center"/>
          </w:tcPr>
          <w:p w:rsidR="008A2D35" w:rsidRPr="00F0305E" w:rsidRDefault="008A2D35" w:rsidP="000A2573">
            <w:pPr>
              <w:spacing w:before="60" w:after="60" w:line="240" w:lineRule="exact"/>
              <w:jc w:val="center"/>
              <w:rPr>
                <w:rFonts w:ascii="Tahoma" w:hAnsi="Tahoma" w:cs="Tahoma"/>
                <w:sz w:val="18"/>
                <w:szCs w:val="18"/>
              </w:rPr>
            </w:pPr>
            <w:r w:rsidRPr="00F0305E">
              <w:rPr>
                <w:rFonts w:ascii="Tahoma" w:hAnsi="Tahoma" w:cs="Tahoma"/>
                <w:sz w:val="18"/>
                <w:szCs w:val="18"/>
              </w:rPr>
              <w:t>1.</w:t>
            </w:r>
          </w:p>
        </w:tc>
        <w:tc>
          <w:tcPr>
            <w:tcW w:w="4221" w:type="dxa"/>
            <w:gridSpan w:val="2"/>
            <w:vAlign w:val="center"/>
          </w:tcPr>
          <w:p w:rsidR="000A3E89" w:rsidRPr="00F0305E" w:rsidRDefault="00A03A22" w:rsidP="00A03A22">
            <w:pPr>
              <w:pStyle w:val="-HTML"/>
              <w:jc w:val="both"/>
              <w:rPr>
                <w:rFonts w:ascii="Tahoma" w:hAnsi="Tahoma" w:cs="Tahoma"/>
                <w:color w:val="000000"/>
                <w:sz w:val="18"/>
                <w:szCs w:val="18"/>
              </w:rPr>
            </w:pPr>
            <w:r w:rsidRPr="00F0305E">
              <w:rPr>
                <w:rFonts w:ascii="Tahoma" w:hAnsi="Tahoma" w:cs="Tahoma"/>
                <w:color w:val="000000"/>
                <w:sz w:val="18"/>
                <w:szCs w:val="18"/>
              </w:rPr>
              <w:t>Ε</w:t>
            </w:r>
            <w:r w:rsidR="000A3E89" w:rsidRPr="00F0305E">
              <w:rPr>
                <w:rFonts w:ascii="Tahoma" w:hAnsi="Tahoma" w:cs="Tahoma"/>
                <w:color w:val="000000"/>
                <w:sz w:val="18"/>
                <w:szCs w:val="18"/>
              </w:rPr>
              <w:t>άν, ύστερα από ανοικτή ή κλειστή διαδικασία είτε δεν υποβλήθηκε καμία προσφορά ή αίτηση συμμετοχής είτε καμία από τις υποβληθείσες προσφορές ή αιτήσεις συμμετοχής δεν είναι κατάλληλη, εφόσον δεν έχουν τροποποιηθεί ουσιωδώς οι αρχικοί όροι της σύμβασης και με την προϋπόθεση ότι διαβιβάζεται σχετική έκθεση στην Επιτροπή μετά από αίτημά της·</w:t>
            </w:r>
          </w:p>
          <w:p w:rsidR="000A3E89" w:rsidRPr="00F0305E" w:rsidRDefault="000A3E89" w:rsidP="00A03A22">
            <w:pPr>
              <w:pStyle w:val="-HTML"/>
              <w:jc w:val="both"/>
              <w:rPr>
                <w:rFonts w:ascii="Tahoma" w:hAnsi="Tahoma" w:cs="Tahoma"/>
                <w:color w:val="000000"/>
                <w:sz w:val="18"/>
                <w:szCs w:val="18"/>
              </w:rPr>
            </w:pPr>
          </w:p>
          <w:p w:rsidR="000A3E89" w:rsidRPr="00F0305E" w:rsidRDefault="000A3E89" w:rsidP="00A03A22">
            <w:pPr>
              <w:pStyle w:val="-HTML"/>
              <w:jc w:val="both"/>
              <w:rPr>
                <w:rFonts w:ascii="Tahoma" w:hAnsi="Tahoma" w:cs="Tahoma"/>
                <w:color w:val="000000"/>
                <w:sz w:val="18"/>
                <w:szCs w:val="18"/>
              </w:rPr>
            </w:pPr>
            <w:r w:rsidRPr="00F0305E">
              <w:rPr>
                <w:rFonts w:ascii="Tahoma" w:hAnsi="Tahoma" w:cs="Tahoma"/>
                <w:color w:val="000000"/>
                <w:sz w:val="18"/>
                <w:szCs w:val="18"/>
              </w:rPr>
              <w:t>Μη κατάλληλη θεωρείται μία προσφορά όταν είναι άσχετη με τη σύμβαση και αδυνατεί προδήλως, χωρίς να τροποποιηθεί ουσιαστικά, να ανταποκριθεί στις ανάγκες και τις απαιτήσεις της αναθέτουσας αρχής, όπως προσδιορίζονται στα έγγραφα της σύμβασης.</w:t>
            </w:r>
          </w:p>
          <w:p w:rsidR="000A3E89" w:rsidRPr="00F0305E" w:rsidRDefault="000A3E89" w:rsidP="00A03A22">
            <w:pPr>
              <w:pStyle w:val="-HTML"/>
              <w:jc w:val="both"/>
              <w:rPr>
                <w:rFonts w:ascii="Tahoma" w:hAnsi="Tahoma" w:cs="Tahoma"/>
                <w:color w:val="000000"/>
                <w:sz w:val="18"/>
                <w:szCs w:val="18"/>
              </w:rPr>
            </w:pPr>
          </w:p>
          <w:p w:rsidR="008A2D35" w:rsidRPr="00F0305E" w:rsidRDefault="000A3E89" w:rsidP="00A03A22">
            <w:pPr>
              <w:pStyle w:val="-HTML"/>
              <w:jc w:val="both"/>
              <w:rPr>
                <w:rFonts w:ascii="Tahoma" w:hAnsi="Tahoma" w:cs="Tahoma"/>
                <w:color w:val="000000"/>
                <w:sz w:val="18"/>
                <w:szCs w:val="18"/>
              </w:rPr>
            </w:pPr>
            <w:r w:rsidRPr="00F0305E">
              <w:rPr>
                <w:rFonts w:ascii="Tahoma" w:hAnsi="Tahoma" w:cs="Tahoma"/>
                <w:color w:val="000000"/>
                <w:sz w:val="18"/>
                <w:szCs w:val="18"/>
              </w:rPr>
              <w:t>Μη κατάλληλη θεωρείται μία αίτηση συμμετοχής όταν στο πρόσωπο του οικονομικού φορέα συντρέχει υποχρεωτικός ή δυνητικός λόγος αποκλεισμού, σύμφωνα με το άρθρο 73 ή όταν αυτός δεν πληροί τα κριτήρια ποιοτικής επιλογής που έχει θέσει η αναθέτουσα αρχή, σύμφωνα με τα άρθρα 75, 76 και 77.</w:t>
            </w:r>
          </w:p>
        </w:tc>
        <w:tc>
          <w:tcPr>
            <w:tcW w:w="638" w:type="dxa"/>
            <w:gridSpan w:val="2"/>
            <w:vAlign w:val="center"/>
          </w:tcPr>
          <w:p w:rsidR="008A2D35" w:rsidRPr="00F0305E" w:rsidRDefault="008A2D35" w:rsidP="009A78A6">
            <w:pPr>
              <w:spacing w:before="60" w:after="60" w:line="240" w:lineRule="exact"/>
              <w:rPr>
                <w:rFonts w:ascii="Tahoma" w:hAnsi="Tahoma" w:cs="Tahoma"/>
                <w:sz w:val="18"/>
                <w:szCs w:val="18"/>
              </w:rPr>
            </w:pPr>
          </w:p>
        </w:tc>
        <w:tc>
          <w:tcPr>
            <w:tcW w:w="567" w:type="dxa"/>
            <w:vAlign w:val="center"/>
          </w:tcPr>
          <w:p w:rsidR="008A2D35" w:rsidRPr="00F0305E" w:rsidRDefault="008A2D35" w:rsidP="009A78A6">
            <w:pPr>
              <w:spacing w:before="60" w:after="60" w:line="240" w:lineRule="exact"/>
              <w:rPr>
                <w:rFonts w:ascii="Tahoma" w:hAnsi="Tahoma" w:cs="Tahoma"/>
                <w:sz w:val="18"/>
                <w:szCs w:val="18"/>
              </w:rPr>
            </w:pPr>
          </w:p>
        </w:tc>
        <w:tc>
          <w:tcPr>
            <w:tcW w:w="850" w:type="dxa"/>
            <w:vAlign w:val="center"/>
          </w:tcPr>
          <w:p w:rsidR="008A2D35" w:rsidRPr="00F0305E" w:rsidRDefault="008A2D35" w:rsidP="009A78A6">
            <w:pPr>
              <w:spacing w:before="60" w:after="60" w:line="240" w:lineRule="exact"/>
              <w:rPr>
                <w:rFonts w:ascii="Tahoma" w:hAnsi="Tahoma" w:cs="Tahoma"/>
                <w:sz w:val="18"/>
                <w:szCs w:val="18"/>
              </w:rPr>
            </w:pPr>
          </w:p>
        </w:tc>
        <w:tc>
          <w:tcPr>
            <w:tcW w:w="4667" w:type="dxa"/>
            <w:gridSpan w:val="2"/>
            <w:shd w:val="clear" w:color="auto" w:fill="auto"/>
            <w:vAlign w:val="center"/>
          </w:tcPr>
          <w:p w:rsidR="00D4246A" w:rsidRPr="00F0305E" w:rsidRDefault="009252B9" w:rsidP="00D4246A">
            <w:pPr>
              <w:spacing w:before="60" w:after="60" w:line="240" w:lineRule="exact"/>
              <w:jc w:val="both"/>
              <w:rPr>
                <w:rFonts w:ascii="Tahoma" w:hAnsi="Tahoma" w:cs="Tahoma"/>
                <w:sz w:val="18"/>
                <w:szCs w:val="18"/>
              </w:rPr>
            </w:pPr>
            <w:r w:rsidRPr="00F0305E">
              <w:rPr>
                <w:rFonts w:ascii="Tahoma" w:hAnsi="Tahoma" w:cs="Tahoma"/>
                <w:sz w:val="18"/>
                <w:szCs w:val="18"/>
              </w:rPr>
              <w:t>Έγγραφα από τα οποία να προκύπτει ότι μετά από ανοιχτή ή κλειστή διαδικασία δεν υποβλήθηκε καμία προσφορά ή αίτηση συμμετοχής ή καμία κατάλληλη προσφορά ή αίτηση συμμετοχής.</w:t>
            </w:r>
            <w:r w:rsidR="001D7CF2" w:rsidRPr="00F0305E">
              <w:rPr>
                <w:rFonts w:ascii="Tahoma" w:hAnsi="Tahoma" w:cs="Tahoma"/>
                <w:sz w:val="18"/>
                <w:szCs w:val="18"/>
              </w:rPr>
              <w:t xml:space="preserve"> Συνυποβάλλεται απαραιτήτως η ανάλυση του προϋπολογισμού</w:t>
            </w:r>
            <w:r w:rsidR="00736C36" w:rsidRPr="00F0305E">
              <w:rPr>
                <w:rFonts w:ascii="Tahoma" w:hAnsi="Tahoma" w:cs="Tahoma"/>
                <w:sz w:val="18"/>
                <w:szCs w:val="18"/>
              </w:rPr>
              <w:t xml:space="preserve"> της σύμβασης όπως αυτή περιλαμβάνεται στο φάκελο δημόσιας σύμβασης αφού αυτή ελεγχθεί εκ νέου ως προς την ορθότητα των αναφερόμενων σε αυτήν. </w:t>
            </w:r>
          </w:p>
          <w:p w:rsidR="008A2D35" w:rsidRPr="00F0305E" w:rsidRDefault="00736C36" w:rsidP="00D4246A">
            <w:pPr>
              <w:spacing w:before="60" w:after="60" w:line="240" w:lineRule="exact"/>
              <w:jc w:val="both"/>
              <w:rPr>
                <w:rFonts w:ascii="Tahoma" w:hAnsi="Tahoma" w:cs="Tahoma"/>
                <w:sz w:val="18"/>
                <w:szCs w:val="18"/>
              </w:rPr>
            </w:pPr>
            <w:r w:rsidRPr="00F0305E">
              <w:rPr>
                <w:rFonts w:ascii="Tahoma" w:hAnsi="Tahoma" w:cs="Tahoma"/>
                <w:sz w:val="18"/>
                <w:szCs w:val="18"/>
              </w:rPr>
              <w:t>Σε πε</w:t>
            </w:r>
            <w:r w:rsidR="00B418A0" w:rsidRPr="00F0305E">
              <w:rPr>
                <w:rFonts w:ascii="Tahoma" w:hAnsi="Tahoma" w:cs="Tahoma"/>
                <w:sz w:val="18"/>
                <w:szCs w:val="18"/>
              </w:rPr>
              <w:t xml:space="preserve">ρίπτωση </w:t>
            </w:r>
            <w:r w:rsidR="00F0305E">
              <w:rPr>
                <w:rFonts w:ascii="Tahoma" w:hAnsi="Tahoma" w:cs="Tahoma"/>
                <w:sz w:val="18"/>
                <w:szCs w:val="18"/>
              </w:rPr>
              <w:t>γνώμης</w:t>
            </w:r>
            <w:r w:rsidR="00B418A0" w:rsidRPr="00F0305E">
              <w:rPr>
                <w:rFonts w:ascii="Tahoma" w:hAnsi="Tahoma" w:cs="Tahoma"/>
                <w:sz w:val="18"/>
                <w:szCs w:val="18"/>
              </w:rPr>
              <w:t xml:space="preserve"> από την ΕΑΔΗΣΥ</w:t>
            </w:r>
            <w:r w:rsidRPr="00F0305E">
              <w:rPr>
                <w:rFonts w:ascii="Tahoma" w:hAnsi="Tahoma" w:cs="Tahoma"/>
                <w:sz w:val="18"/>
                <w:szCs w:val="18"/>
              </w:rPr>
              <w:t xml:space="preserve"> </w:t>
            </w:r>
            <w:r w:rsidR="00D4246A" w:rsidRPr="00F0305E">
              <w:rPr>
                <w:rFonts w:ascii="Tahoma" w:hAnsi="Tahoma" w:cs="Tahoma"/>
                <w:sz w:val="18"/>
                <w:szCs w:val="18"/>
              </w:rPr>
              <w:t>συν</w:t>
            </w:r>
            <w:r w:rsidRPr="00F0305E">
              <w:rPr>
                <w:rFonts w:ascii="Tahoma" w:hAnsi="Tahoma" w:cs="Tahoma"/>
                <w:sz w:val="18"/>
                <w:szCs w:val="18"/>
              </w:rPr>
              <w:t>υποβάλλεται και το σχετικό υλικό.</w:t>
            </w:r>
          </w:p>
          <w:p w:rsidR="00D4246A" w:rsidRPr="00F0305E" w:rsidRDefault="00D4246A" w:rsidP="00D4246A">
            <w:pPr>
              <w:spacing w:before="60" w:after="60" w:line="240" w:lineRule="exact"/>
              <w:jc w:val="both"/>
              <w:rPr>
                <w:rFonts w:ascii="Tahoma" w:hAnsi="Tahoma" w:cs="Tahoma"/>
                <w:sz w:val="18"/>
                <w:szCs w:val="18"/>
              </w:rPr>
            </w:pPr>
            <w:r w:rsidRPr="00F0305E">
              <w:rPr>
                <w:rFonts w:ascii="Tahoma" w:hAnsi="Tahoma" w:cs="Tahoma"/>
                <w:color w:val="000000" w:themeColor="text1"/>
                <w:sz w:val="18"/>
                <w:szCs w:val="18"/>
              </w:rPr>
              <w:t>Άρθρο 32.2.α. του ν. 4412/2016.</w:t>
            </w:r>
          </w:p>
        </w:tc>
        <w:tc>
          <w:tcPr>
            <w:tcW w:w="3394" w:type="dxa"/>
            <w:gridSpan w:val="3"/>
            <w:vAlign w:val="center"/>
          </w:tcPr>
          <w:p w:rsidR="008A2D35" w:rsidRPr="00F0305E" w:rsidRDefault="008A2D35" w:rsidP="00736C36">
            <w:pPr>
              <w:spacing w:before="60" w:after="60" w:line="240" w:lineRule="exact"/>
              <w:rPr>
                <w:rFonts w:ascii="Tahoma" w:hAnsi="Tahoma" w:cs="Tahoma"/>
                <w:color w:val="000000" w:themeColor="text1"/>
                <w:sz w:val="18"/>
                <w:szCs w:val="18"/>
              </w:rPr>
            </w:pPr>
          </w:p>
        </w:tc>
      </w:tr>
      <w:tr w:rsidR="008A2D35" w:rsidRPr="00F0305E" w:rsidTr="00FF2E2C">
        <w:trPr>
          <w:jc w:val="center"/>
        </w:trPr>
        <w:tc>
          <w:tcPr>
            <w:tcW w:w="665" w:type="dxa"/>
            <w:vAlign w:val="center"/>
          </w:tcPr>
          <w:p w:rsidR="008A2D35" w:rsidRPr="00F0305E" w:rsidRDefault="008A2D35" w:rsidP="000A2573">
            <w:pPr>
              <w:spacing w:before="60" w:after="60" w:line="240" w:lineRule="exact"/>
              <w:jc w:val="center"/>
              <w:rPr>
                <w:rFonts w:ascii="Tahoma" w:hAnsi="Tahoma" w:cs="Tahoma"/>
                <w:sz w:val="18"/>
                <w:szCs w:val="18"/>
              </w:rPr>
            </w:pPr>
            <w:r w:rsidRPr="00F0305E">
              <w:rPr>
                <w:rFonts w:ascii="Tahoma" w:hAnsi="Tahoma" w:cs="Tahoma"/>
                <w:sz w:val="18"/>
                <w:szCs w:val="18"/>
              </w:rPr>
              <w:t>2.</w:t>
            </w:r>
          </w:p>
        </w:tc>
        <w:tc>
          <w:tcPr>
            <w:tcW w:w="4221" w:type="dxa"/>
            <w:gridSpan w:val="2"/>
            <w:vAlign w:val="center"/>
          </w:tcPr>
          <w:p w:rsidR="000A3E89" w:rsidRPr="00F0305E" w:rsidRDefault="00A03A22" w:rsidP="00A03A22">
            <w:pPr>
              <w:pStyle w:val="-HTML"/>
              <w:jc w:val="both"/>
              <w:rPr>
                <w:rFonts w:ascii="Tahoma" w:hAnsi="Tahoma" w:cs="Tahoma"/>
                <w:color w:val="000000"/>
                <w:sz w:val="18"/>
                <w:szCs w:val="18"/>
              </w:rPr>
            </w:pPr>
            <w:r w:rsidRPr="00F0305E">
              <w:rPr>
                <w:rFonts w:ascii="Tahoma" w:hAnsi="Tahoma" w:cs="Tahoma"/>
                <w:color w:val="000000"/>
                <w:sz w:val="18"/>
                <w:szCs w:val="18"/>
              </w:rPr>
              <w:t>Ε</w:t>
            </w:r>
            <w:r w:rsidR="000A3E89" w:rsidRPr="00F0305E">
              <w:rPr>
                <w:rFonts w:ascii="Tahoma" w:hAnsi="Tahoma" w:cs="Tahoma"/>
                <w:color w:val="000000"/>
                <w:sz w:val="18"/>
                <w:szCs w:val="18"/>
              </w:rPr>
              <w:t>άν τα έργα, τα αγαθά ή οι υπηρεσίες μπορούν να παρασχεθούν μόνον από έναν συγκεκριμένο οικονομικό φορέα για οποιονδήποτε από τους κατωτέρω λόγους:</w:t>
            </w:r>
          </w:p>
          <w:p w:rsidR="00A03A22" w:rsidRPr="00F0305E" w:rsidRDefault="00A03A22" w:rsidP="00A03A22">
            <w:pPr>
              <w:pStyle w:val="-HTML"/>
              <w:jc w:val="both"/>
              <w:rPr>
                <w:rFonts w:ascii="Tahoma" w:hAnsi="Tahoma" w:cs="Tahoma"/>
                <w:color w:val="000000"/>
                <w:sz w:val="18"/>
                <w:szCs w:val="18"/>
              </w:rPr>
            </w:pPr>
          </w:p>
          <w:p w:rsidR="000A3E89" w:rsidRPr="00F0305E" w:rsidRDefault="000A3E89" w:rsidP="00A03A22">
            <w:pPr>
              <w:pStyle w:val="-HTML"/>
              <w:jc w:val="both"/>
              <w:rPr>
                <w:rFonts w:ascii="Tahoma" w:hAnsi="Tahoma" w:cs="Tahoma"/>
                <w:color w:val="000000"/>
                <w:sz w:val="18"/>
                <w:szCs w:val="18"/>
              </w:rPr>
            </w:pPr>
            <w:proofErr w:type="spellStart"/>
            <w:r w:rsidRPr="00F0305E">
              <w:rPr>
                <w:rFonts w:ascii="Tahoma" w:hAnsi="Tahoma" w:cs="Tahoma"/>
                <w:color w:val="000000"/>
                <w:sz w:val="18"/>
                <w:szCs w:val="18"/>
              </w:rPr>
              <w:t>αα</w:t>
            </w:r>
            <w:proofErr w:type="spellEnd"/>
            <w:r w:rsidRPr="00F0305E">
              <w:rPr>
                <w:rFonts w:ascii="Tahoma" w:hAnsi="Tahoma" w:cs="Tahoma"/>
                <w:color w:val="000000"/>
                <w:sz w:val="18"/>
                <w:szCs w:val="18"/>
              </w:rPr>
              <w:t>) στόχος της σύμβασης είναι η δημιουργία ή απόκτηση μοναδικού έργου τέχνης ή καλλιτεχνικής εκδήλωσης,</w:t>
            </w:r>
          </w:p>
          <w:p w:rsidR="00A03A22" w:rsidRPr="00F0305E" w:rsidRDefault="00A03A22" w:rsidP="00A03A22">
            <w:pPr>
              <w:pStyle w:val="-HTML"/>
              <w:jc w:val="both"/>
              <w:rPr>
                <w:rFonts w:ascii="Tahoma" w:hAnsi="Tahoma" w:cs="Tahoma"/>
                <w:color w:val="000000"/>
                <w:sz w:val="18"/>
                <w:szCs w:val="18"/>
              </w:rPr>
            </w:pPr>
          </w:p>
          <w:p w:rsidR="000A3E89" w:rsidRPr="00F0305E" w:rsidRDefault="000A3E89" w:rsidP="00A03A22">
            <w:pPr>
              <w:pStyle w:val="-HTML"/>
              <w:jc w:val="both"/>
              <w:rPr>
                <w:rFonts w:ascii="Tahoma" w:hAnsi="Tahoma" w:cs="Tahoma"/>
                <w:color w:val="000000"/>
                <w:sz w:val="18"/>
                <w:szCs w:val="18"/>
              </w:rPr>
            </w:pPr>
            <w:proofErr w:type="spellStart"/>
            <w:r w:rsidRPr="00F0305E">
              <w:rPr>
                <w:rFonts w:ascii="Tahoma" w:hAnsi="Tahoma" w:cs="Tahoma"/>
                <w:color w:val="000000"/>
                <w:sz w:val="18"/>
                <w:szCs w:val="18"/>
              </w:rPr>
              <w:t>ββ</w:t>
            </w:r>
            <w:proofErr w:type="spellEnd"/>
            <w:r w:rsidRPr="00F0305E">
              <w:rPr>
                <w:rFonts w:ascii="Tahoma" w:hAnsi="Tahoma" w:cs="Tahoma"/>
                <w:color w:val="000000"/>
                <w:sz w:val="18"/>
                <w:szCs w:val="18"/>
              </w:rPr>
              <w:t>) απουσία ανταγωνισμού για τεχνικούς λόγους,</w:t>
            </w:r>
          </w:p>
          <w:p w:rsidR="000A3E89" w:rsidRPr="00F0305E" w:rsidRDefault="000A3E89" w:rsidP="00A03A22">
            <w:pPr>
              <w:pStyle w:val="-HTML"/>
              <w:jc w:val="both"/>
              <w:rPr>
                <w:rFonts w:ascii="Tahoma" w:hAnsi="Tahoma" w:cs="Tahoma"/>
                <w:color w:val="000000"/>
                <w:sz w:val="18"/>
                <w:szCs w:val="18"/>
              </w:rPr>
            </w:pPr>
            <w:proofErr w:type="spellStart"/>
            <w:r w:rsidRPr="00F0305E">
              <w:rPr>
                <w:rFonts w:ascii="Tahoma" w:hAnsi="Tahoma" w:cs="Tahoma"/>
                <w:color w:val="000000"/>
                <w:sz w:val="18"/>
                <w:szCs w:val="18"/>
              </w:rPr>
              <w:lastRenderedPageBreak/>
              <w:t>γγ</w:t>
            </w:r>
            <w:proofErr w:type="spellEnd"/>
            <w:r w:rsidRPr="00F0305E">
              <w:rPr>
                <w:rFonts w:ascii="Tahoma" w:hAnsi="Tahoma" w:cs="Tahoma"/>
                <w:color w:val="000000"/>
                <w:sz w:val="18"/>
                <w:szCs w:val="18"/>
              </w:rPr>
              <w:t>) προστασία αποκλειστικών δικαιωμάτων, συμπεριλαμβανομένων των δικαιωμάτων διανοητικής ιδιοκτησίας.</w:t>
            </w:r>
          </w:p>
          <w:p w:rsidR="000A3E89" w:rsidRPr="00F0305E" w:rsidRDefault="000A3E89" w:rsidP="00A03A22">
            <w:pPr>
              <w:pStyle w:val="-HTML"/>
              <w:jc w:val="both"/>
              <w:rPr>
                <w:rFonts w:ascii="Tahoma" w:hAnsi="Tahoma" w:cs="Tahoma"/>
                <w:color w:val="000000"/>
                <w:sz w:val="18"/>
                <w:szCs w:val="18"/>
              </w:rPr>
            </w:pPr>
          </w:p>
          <w:p w:rsidR="000A3E89" w:rsidRPr="00F0305E" w:rsidRDefault="000A3E89" w:rsidP="00A03A22">
            <w:pPr>
              <w:pStyle w:val="-HTML"/>
              <w:jc w:val="both"/>
              <w:rPr>
                <w:rFonts w:ascii="Tahoma" w:hAnsi="Tahoma" w:cs="Tahoma"/>
                <w:color w:val="000000"/>
                <w:sz w:val="18"/>
                <w:szCs w:val="18"/>
              </w:rPr>
            </w:pPr>
            <w:r w:rsidRPr="00F0305E">
              <w:rPr>
                <w:rFonts w:ascii="Tahoma" w:hAnsi="Tahoma" w:cs="Tahoma"/>
                <w:color w:val="000000"/>
                <w:sz w:val="18"/>
                <w:szCs w:val="18"/>
              </w:rPr>
              <w:t xml:space="preserve">Οι εξαιρέσεις που ορίζονται στις υποπεριπτώσεις </w:t>
            </w:r>
            <w:proofErr w:type="spellStart"/>
            <w:r w:rsidRPr="00F0305E">
              <w:rPr>
                <w:rFonts w:ascii="Tahoma" w:hAnsi="Tahoma" w:cs="Tahoma"/>
                <w:color w:val="000000"/>
                <w:sz w:val="18"/>
                <w:szCs w:val="18"/>
              </w:rPr>
              <w:t>ββ</w:t>
            </w:r>
            <w:proofErr w:type="spellEnd"/>
            <w:r w:rsidRPr="00F0305E">
              <w:rPr>
                <w:rFonts w:ascii="Tahoma" w:hAnsi="Tahoma" w:cs="Tahoma"/>
                <w:color w:val="000000"/>
                <w:sz w:val="18"/>
                <w:szCs w:val="18"/>
              </w:rPr>
              <w:t xml:space="preserve">` και </w:t>
            </w:r>
            <w:proofErr w:type="spellStart"/>
            <w:r w:rsidRPr="00F0305E">
              <w:rPr>
                <w:rFonts w:ascii="Tahoma" w:hAnsi="Tahoma" w:cs="Tahoma"/>
                <w:color w:val="000000"/>
                <w:sz w:val="18"/>
                <w:szCs w:val="18"/>
              </w:rPr>
              <w:t>γγ</w:t>
            </w:r>
            <w:proofErr w:type="spellEnd"/>
            <w:r w:rsidRPr="00F0305E">
              <w:rPr>
                <w:rFonts w:ascii="Tahoma" w:hAnsi="Tahoma" w:cs="Tahoma"/>
                <w:color w:val="000000"/>
                <w:sz w:val="18"/>
                <w:szCs w:val="18"/>
              </w:rPr>
              <w:t>` εφαρμόζονται μόνο</w:t>
            </w:r>
            <w:r w:rsidR="00F0305E">
              <w:rPr>
                <w:rFonts w:ascii="Tahoma" w:hAnsi="Tahoma" w:cs="Tahoma"/>
                <w:color w:val="000000"/>
                <w:sz w:val="18"/>
                <w:szCs w:val="18"/>
              </w:rPr>
              <w:t>,</w:t>
            </w:r>
            <w:r w:rsidRPr="00F0305E">
              <w:rPr>
                <w:rFonts w:ascii="Tahoma" w:hAnsi="Tahoma" w:cs="Tahoma"/>
                <w:color w:val="000000"/>
                <w:sz w:val="18"/>
                <w:szCs w:val="18"/>
              </w:rPr>
              <w:t xml:space="preserve"> εάν δεν υπάρχει εύλογη εναλλακτική λύση ή υποκατάστατο και η απουσία ανταγωνισμού δεν είναι αποτέλεσμα τεχνητού περιορισμού των παραμέτρων της σύμβασης·</w:t>
            </w:r>
          </w:p>
          <w:p w:rsidR="008A2D35" w:rsidRPr="00F0305E" w:rsidRDefault="008A2D35" w:rsidP="00BD5F10">
            <w:pPr>
              <w:spacing w:before="60" w:after="60" w:line="240" w:lineRule="exact"/>
              <w:rPr>
                <w:rFonts w:ascii="Tahoma" w:hAnsi="Tahoma" w:cs="Tahoma"/>
                <w:bCs/>
                <w:sz w:val="18"/>
                <w:szCs w:val="18"/>
              </w:rPr>
            </w:pPr>
          </w:p>
        </w:tc>
        <w:tc>
          <w:tcPr>
            <w:tcW w:w="638" w:type="dxa"/>
            <w:gridSpan w:val="2"/>
            <w:vAlign w:val="center"/>
          </w:tcPr>
          <w:p w:rsidR="008A2D35" w:rsidRPr="00F0305E" w:rsidRDefault="008A2D35" w:rsidP="009A78A6">
            <w:pPr>
              <w:spacing w:before="60" w:after="60" w:line="240" w:lineRule="exact"/>
              <w:rPr>
                <w:rFonts w:ascii="Tahoma" w:hAnsi="Tahoma" w:cs="Tahoma"/>
                <w:sz w:val="18"/>
                <w:szCs w:val="18"/>
              </w:rPr>
            </w:pPr>
          </w:p>
        </w:tc>
        <w:tc>
          <w:tcPr>
            <w:tcW w:w="567" w:type="dxa"/>
            <w:vAlign w:val="center"/>
          </w:tcPr>
          <w:p w:rsidR="008A2D35" w:rsidRPr="00F0305E" w:rsidRDefault="008A2D35" w:rsidP="009A78A6">
            <w:pPr>
              <w:spacing w:before="60" w:after="60" w:line="240" w:lineRule="exact"/>
              <w:rPr>
                <w:rFonts w:ascii="Tahoma" w:hAnsi="Tahoma" w:cs="Tahoma"/>
                <w:sz w:val="18"/>
                <w:szCs w:val="18"/>
              </w:rPr>
            </w:pPr>
          </w:p>
        </w:tc>
        <w:tc>
          <w:tcPr>
            <w:tcW w:w="850" w:type="dxa"/>
            <w:vAlign w:val="center"/>
          </w:tcPr>
          <w:p w:rsidR="008A2D35" w:rsidRPr="00F0305E" w:rsidRDefault="008A2D35" w:rsidP="009A78A6">
            <w:pPr>
              <w:spacing w:before="60" w:after="60" w:line="240" w:lineRule="exact"/>
              <w:rPr>
                <w:rFonts w:ascii="Tahoma" w:hAnsi="Tahoma" w:cs="Tahoma"/>
                <w:sz w:val="18"/>
                <w:szCs w:val="18"/>
              </w:rPr>
            </w:pPr>
          </w:p>
        </w:tc>
        <w:tc>
          <w:tcPr>
            <w:tcW w:w="4667" w:type="dxa"/>
            <w:gridSpan w:val="2"/>
            <w:shd w:val="clear" w:color="auto" w:fill="auto"/>
            <w:vAlign w:val="center"/>
          </w:tcPr>
          <w:p w:rsidR="000F3E87" w:rsidRPr="00F0305E" w:rsidRDefault="00736C36" w:rsidP="00D4246A">
            <w:pPr>
              <w:spacing w:before="60" w:after="60" w:line="240" w:lineRule="exact"/>
              <w:jc w:val="both"/>
              <w:rPr>
                <w:rFonts w:ascii="Tahoma" w:hAnsi="Tahoma" w:cs="Tahoma"/>
                <w:sz w:val="18"/>
                <w:szCs w:val="18"/>
              </w:rPr>
            </w:pPr>
            <w:r w:rsidRPr="00F0305E">
              <w:rPr>
                <w:rFonts w:ascii="Tahoma" w:hAnsi="Tahoma" w:cs="Tahoma"/>
                <w:sz w:val="18"/>
                <w:szCs w:val="18"/>
              </w:rPr>
              <w:t>Υποβάλλεται έκθεση τεκμηρίωσης. Επίσης, σε πε</w:t>
            </w:r>
            <w:r w:rsidR="008858B7" w:rsidRPr="00F0305E">
              <w:rPr>
                <w:rFonts w:ascii="Tahoma" w:hAnsi="Tahoma" w:cs="Tahoma"/>
                <w:sz w:val="18"/>
                <w:szCs w:val="18"/>
              </w:rPr>
              <w:t xml:space="preserve">ρίπτωση </w:t>
            </w:r>
            <w:r w:rsidR="00F0305E">
              <w:rPr>
                <w:rFonts w:ascii="Tahoma" w:hAnsi="Tahoma" w:cs="Tahoma"/>
                <w:sz w:val="18"/>
                <w:szCs w:val="18"/>
              </w:rPr>
              <w:t xml:space="preserve">γνώμης </w:t>
            </w:r>
            <w:r w:rsidR="008858B7" w:rsidRPr="00F0305E">
              <w:rPr>
                <w:rFonts w:ascii="Tahoma" w:hAnsi="Tahoma" w:cs="Tahoma"/>
                <w:sz w:val="18"/>
                <w:szCs w:val="18"/>
              </w:rPr>
              <w:t>από την ΕΑΔΗΣΥ</w:t>
            </w:r>
            <w:r w:rsidRPr="00F0305E">
              <w:rPr>
                <w:rFonts w:ascii="Tahoma" w:hAnsi="Tahoma" w:cs="Tahoma"/>
                <w:sz w:val="18"/>
                <w:szCs w:val="18"/>
              </w:rPr>
              <w:t xml:space="preserve"> συνυποβάλλεται και το σχετικό υλικό.</w:t>
            </w:r>
          </w:p>
          <w:p w:rsidR="00D4246A" w:rsidRPr="00F0305E" w:rsidRDefault="00D4246A" w:rsidP="009A78A6">
            <w:pPr>
              <w:spacing w:before="60" w:after="60" w:line="240" w:lineRule="exact"/>
              <w:rPr>
                <w:rFonts w:ascii="Tahoma" w:hAnsi="Tahoma" w:cs="Tahoma"/>
                <w:sz w:val="18"/>
                <w:szCs w:val="18"/>
              </w:rPr>
            </w:pPr>
            <w:r w:rsidRPr="00F0305E">
              <w:rPr>
                <w:rFonts w:ascii="Tahoma" w:hAnsi="Tahoma" w:cs="Tahoma"/>
                <w:color w:val="000000" w:themeColor="text1"/>
                <w:sz w:val="18"/>
                <w:szCs w:val="18"/>
              </w:rPr>
              <w:t>Άρθρο 32.2.β. του ν. 4412/2016.</w:t>
            </w:r>
          </w:p>
          <w:p w:rsidR="00C10BCC" w:rsidRPr="00F0305E" w:rsidRDefault="00C10BCC" w:rsidP="00B7430C">
            <w:pPr>
              <w:spacing w:before="60" w:after="60" w:line="240" w:lineRule="exact"/>
              <w:rPr>
                <w:rFonts w:ascii="Tahoma" w:hAnsi="Tahoma" w:cs="Tahoma"/>
                <w:sz w:val="18"/>
                <w:szCs w:val="18"/>
              </w:rPr>
            </w:pPr>
          </w:p>
        </w:tc>
        <w:tc>
          <w:tcPr>
            <w:tcW w:w="3394" w:type="dxa"/>
            <w:gridSpan w:val="3"/>
            <w:vAlign w:val="center"/>
          </w:tcPr>
          <w:p w:rsidR="00DE31BF" w:rsidRPr="00F0305E" w:rsidRDefault="00DE31BF" w:rsidP="00736C36">
            <w:pPr>
              <w:spacing w:before="60" w:after="60" w:line="240" w:lineRule="exact"/>
              <w:rPr>
                <w:rFonts w:ascii="Tahoma" w:hAnsi="Tahoma" w:cs="Tahoma"/>
                <w:color w:val="000000" w:themeColor="text1"/>
                <w:sz w:val="18"/>
                <w:szCs w:val="18"/>
              </w:rPr>
            </w:pPr>
          </w:p>
        </w:tc>
      </w:tr>
      <w:tr w:rsidR="00C47F40" w:rsidRPr="00F0305E" w:rsidTr="00FF2E2C">
        <w:trPr>
          <w:jc w:val="center"/>
        </w:trPr>
        <w:tc>
          <w:tcPr>
            <w:tcW w:w="665" w:type="dxa"/>
            <w:vAlign w:val="center"/>
          </w:tcPr>
          <w:p w:rsidR="00C47F40" w:rsidRPr="00F0305E" w:rsidRDefault="006E1FAF" w:rsidP="000A2573">
            <w:pPr>
              <w:spacing w:before="60" w:after="60" w:line="240" w:lineRule="exact"/>
              <w:jc w:val="center"/>
              <w:rPr>
                <w:rFonts w:ascii="Tahoma" w:hAnsi="Tahoma" w:cs="Tahoma"/>
                <w:sz w:val="18"/>
                <w:szCs w:val="18"/>
              </w:rPr>
            </w:pPr>
            <w:r w:rsidRPr="00F0305E">
              <w:rPr>
                <w:rFonts w:ascii="Tahoma" w:hAnsi="Tahoma" w:cs="Tahoma"/>
                <w:sz w:val="18"/>
                <w:szCs w:val="18"/>
              </w:rPr>
              <w:t>3</w:t>
            </w:r>
            <w:r w:rsidR="00C47F40" w:rsidRPr="00F0305E">
              <w:rPr>
                <w:rFonts w:ascii="Tahoma" w:hAnsi="Tahoma" w:cs="Tahoma"/>
                <w:sz w:val="18"/>
                <w:szCs w:val="18"/>
              </w:rPr>
              <w:t>.</w:t>
            </w:r>
          </w:p>
        </w:tc>
        <w:tc>
          <w:tcPr>
            <w:tcW w:w="4221" w:type="dxa"/>
            <w:gridSpan w:val="2"/>
            <w:vAlign w:val="center"/>
          </w:tcPr>
          <w:p w:rsidR="000A3E89" w:rsidRPr="00F0305E" w:rsidRDefault="00484219" w:rsidP="00484219">
            <w:pPr>
              <w:pStyle w:val="-HTML"/>
              <w:jc w:val="both"/>
              <w:rPr>
                <w:rFonts w:ascii="Tahoma" w:hAnsi="Tahoma" w:cs="Tahoma"/>
                <w:color w:val="000000"/>
                <w:sz w:val="18"/>
                <w:szCs w:val="18"/>
              </w:rPr>
            </w:pPr>
            <w:r w:rsidRPr="00F0305E">
              <w:rPr>
                <w:rFonts w:ascii="Tahoma" w:hAnsi="Tahoma" w:cs="Tahoma"/>
                <w:color w:val="000000"/>
                <w:sz w:val="18"/>
                <w:szCs w:val="18"/>
              </w:rPr>
              <w:t>Σ</w:t>
            </w:r>
            <w:r w:rsidR="000A3E89" w:rsidRPr="00F0305E">
              <w:rPr>
                <w:rFonts w:ascii="Tahoma" w:hAnsi="Tahoma" w:cs="Tahoma"/>
                <w:color w:val="000000"/>
                <w:sz w:val="18"/>
                <w:szCs w:val="18"/>
              </w:rPr>
              <w:t xml:space="preserve">το μέτρο που είναι απολύτως απαραίτητο, εάν λόγω κατεπείγουσας ανάγκης οφειλόμενης σε γεγονότα απρόβλεπτα για την αναθέτουσα αρχή, δεν είναι δυνατή η τήρηση των </w:t>
            </w:r>
            <w:r w:rsidR="007827D7" w:rsidRPr="00F0305E">
              <w:rPr>
                <w:rFonts w:ascii="Tahoma" w:hAnsi="Tahoma" w:cs="Tahoma"/>
                <w:color w:val="000000"/>
                <w:sz w:val="18"/>
                <w:szCs w:val="18"/>
              </w:rPr>
              <w:t>προθεσμιών</w:t>
            </w:r>
            <w:r w:rsidR="000A3E89" w:rsidRPr="00F0305E">
              <w:rPr>
                <w:rFonts w:ascii="Tahoma" w:hAnsi="Tahoma" w:cs="Tahoma"/>
                <w:color w:val="000000"/>
                <w:sz w:val="18"/>
                <w:szCs w:val="18"/>
              </w:rPr>
              <w:t xml:space="preserve"> που προβλέπονται για τις ανοικτές, κλειστές ή ανταγωνιστικές διαδικασίες με διαπραγμάτευση.</w:t>
            </w:r>
          </w:p>
          <w:p w:rsidR="000A3E89" w:rsidRPr="00F0305E" w:rsidRDefault="000A3E89" w:rsidP="00484219">
            <w:pPr>
              <w:pStyle w:val="-HTML"/>
              <w:jc w:val="both"/>
              <w:rPr>
                <w:rFonts w:ascii="Tahoma" w:hAnsi="Tahoma" w:cs="Tahoma"/>
                <w:color w:val="000000"/>
                <w:sz w:val="18"/>
                <w:szCs w:val="18"/>
              </w:rPr>
            </w:pPr>
          </w:p>
          <w:p w:rsidR="00C47F40" w:rsidRPr="00F0305E" w:rsidRDefault="000A3E89" w:rsidP="00736C36">
            <w:pPr>
              <w:pStyle w:val="-HTML"/>
              <w:jc w:val="both"/>
              <w:rPr>
                <w:rFonts w:ascii="Tahoma" w:hAnsi="Tahoma" w:cs="Tahoma"/>
                <w:color w:val="000000"/>
                <w:sz w:val="18"/>
                <w:szCs w:val="18"/>
              </w:rPr>
            </w:pPr>
            <w:r w:rsidRPr="00F0305E">
              <w:rPr>
                <w:rFonts w:ascii="Tahoma" w:hAnsi="Tahoma" w:cs="Tahoma"/>
                <w:color w:val="000000"/>
                <w:sz w:val="18"/>
                <w:szCs w:val="18"/>
              </w:rPr>
              <w:t>Οι περιστάσεις που επικαλούνται οι αναθέτουσες αρχές για την αιτιολόγηση της κατεπείγουσας ανάγκης δεν πρέπει σε καμία περίπτωση να απορρέουν από δική τους ευθύνη.</w:t>
            </w:r>
          </w:p>
        </w:tc>
        <w:tc>
          <w:tcPr>
            <w:tcW w:w="638" w:type="dxa"/>
            <w:gridSpan w:val="2"/>
            <w:vAlign w:val="center"/>
          </w:tcPr>
          <w:p w:rsidR="00C47F40" w:rsidRPr="00F0305E" w:rsidRDefault="00C47F40" w:rsidP="009A78A6">
            <w:pPr>
              <w:spacing w:before="60" w:after="60" w:line="240" w:lineRule="exact"/>
              <w:rPr>
                <w:rFonts w:ascii="Tahoma" w:hAnsi="Tahoma" w:cs="Tahoma"/>
                <w:sz w:val="18"/>
                <w:szCs w:val="18"/>
              </w:rPr>
            </w:pPr>
          </w:p>
        </w:tc>
        <w:tc>
          <w:tcPr>
            <w:tcW w:w="567" w:type="dxa"/>
            <w:vAlign w:val="center"/>
          </w:tcPr>
          <w:p w:rsidR="00C47F40" w:rsidRPr="00F0305E" w:rsidRDefault="00C47F40" w:rsidP="009A78A6">
            <w:pPr>
              <w:spacing w:before="60" w:after="60" w:line="240" w:lineRule="exact"/>
              <w:rPr>
                <w:rFonts w:ascii="Tahoma" w:hAnsi="Tahoma" w:cs="Tahoma"/>
                <w:sz w:val="18"/>
                <w:szCs w:val="18"/>
              </w:rPr>
            </w:pPr>
          </w:p>
        </w:tc>
        <w:tc>
          <w:tcPr>
            <w:tcW w:w="850" w:type="dxa"/>
            <w:vAlign w:val="center"/>
          </w:tcPr>
          <w:p w:rsidR="00C47F40" w:rsidRPr="00F0305E" w:rsidRDefault="00C47F40" w:rsidP="009A78A6">
            <w:pPr>
              <w:spacing w:before="60" w:after="60" w:line="240" w:lineRule="exact"/>
              <w:rPr>
                <w:rFonts w:ascii="Tahoma" w:hAnsi="Tahoma" w:cs="Tahoma"/>
                <w:sz w:val="18"/>
                <w:szCs w:val="18"/>
              </w:rPr>
            </w:pPr>
          </w:p>
        </w:tc>
        <w:tc>
          <w:tcPr>
            <w:tcW w:w="4667" w:type="dxa"/>
            <w:gridSpan w:val="2"/>
            <w:shd w:val="clear" w:color="auto" w:fill="auto"/>
            <w:vAlign w:val="center"/>
          </w:tcPr>
          <w:p w:rsidR="00C47F40" w:rsidRPr="00F0305E" w:rsidRDefault="007827D7" w:rsidP="008858B7">
            <w:pPr>
              <w:spacing w:before="60" w:after="60" w:line="240" w:lineRule="exact"/>
              <w:rPr>
                <w:rFonts w:ascii="Tahoma" w:hAnsi="Tahoma" w:cs="Tahoma"/>
                <w:sz w:val="18"/>
                <w:szCs w:val="18"/>
              </w:rPr>
            </w:pPr>
            <w:r w:rsidRPr="00F0305E">
              <w:rPr>
                <w:rFonts w:ascii="Tahoma" w:hAnsi="Tahoma" w:cs="Tahoma"/>
                <w:sz w:val="18"/>
                <w:szCs w:val="18"/>
              </w:rPr>
              <w:t>Υποβάλλεται έκθεση τεκμηρίωσης</w:t>
            </w:r>
            <w:r w:rsidR="00D4246A" w:rsidRPr="00F0305E">
              <w:rPr>
                <w:rFonts w:ascii="Tahoma" w:hAnsi="Tahoma" w:cs="Tahoma"/>
                <w:sz w:val="18"/>
                <w:szCs w:val="18"/>
              </w:rPr>
              <w:t>.</w:t>
            </w:r>
            <w:r w:rsidR="00776502" w:rsidRPr="00F0305E">
              <w:rPr>
                <w:rFonts w:ascii="Tahoma" w:hAnsi="Tahoma" w:cs="Tahoma"/>
                <w:sz w:val="18"/>
                <w:szCs w:val="18"/>
              </w:rPr>
              <w:t xml:space="preserve"> </w:t>
            </w:r>
          </w:p>
          <w:p w:rsidR="00D4246A" w:rsidRPr="00F0305E" w:rsidRDefault="00D4246A" w:rsidP="008858B7">
            <w:pPr>
              <w:spacing w:before="60" w:after="60" w:line="240" w:lineRule="exact"/>
              <w:rPr>
                <w:rFonts w:ascii="Tahoma" w:hAnsi="Tahoma" w:cs="Tahoma"/>
                <w:sz w:val="18"/>
                <w:szCs w:val="18"/>
              </w:rPr>
            </w:pPr>
            <w:r w:rsidRPr="00F0305E">
              <w:rPr>
                <w:rFonts w:ascii="Tahoma" w:hAnsi="Tahoma" w:cs="Tahoma"/>
                <w:color w:val="000000" w:themeColor="text1"/>
                <w:sz w:val="18"/>
                <w:szCs w:val="18"/>
              </w:rPr>
              <w:t>Άρθρο 32.2.γ. του ν. 4412/2016.</w:t>
            </w:r>
          </w:p>
        </w:tc>
        <w:tc>
          <w:tcPr>
            <w:tcW w:w="3394" w:type="dxa"/>
            <w:gridSpan w:val="3"/>
            <w:vAlign w:val="center"/>
          </w:tcPr>
          <w:p w:rsidR="002D7750" w:rsidRPr="00F0305E" w:rsidRDefault="002D7750" w:rsidP="00F92D87">
            <w:pPr>
              <w:spacing w:before="60" w:after="60" w:line="240" w:lineRule="exact"/>
              <w:rPr>
                <w:rFonts w:ascii="Tahoma" w:hAnsi="Tahoma" w:cs="Tahoma"/>
                <w:color w:val="000000" w:themeColor="text1"/>
                <w:sz w:val="16"/>
                <w:szCs w:val="16"/>
              </w:rPr>
            </w:pPr>
          </w:p>
        </w:tc>
      </w:tr>
      <w:tr w:rsidR="00351413" w:rsidRPr="00F0305E" w:rsidTr="00FF2E2C">
        <w:trPr>
          <w:trHeight w:val="1385"/>
          <w:jc w:val="center"/>
        </w:trPr>
        <w:tc>
          <w:tcPr>
            <w:tcW w:w="665" w:type="dxa"/>
            <w:vAlign w:val="center"/>
          </w:tcPr>
          <w:p w:rsidR="00351413" w:rsidRPr="00F0305E" w:rsidRDefault="006E1FAF" w:rsidP="000A2573">
            <w:pPr>
              <w:spacing w:before="60" w:after="60" w:line="240" w:lineRule="exact"/>
              <w:jc w:val="center"/>
              <w:rPr>
                <w:rFonts w:ascii="Tahoma" w:hAnsi="Tahoma" w:cs="Tahoma"/>
                <w:sz w:val="18"/>
                <w:szCs w:val="18"/>
              </w:rPr>
            </w:pPr>
            <w:r w:rsidRPr="00F0305E">
              <w:rPr>
                <w:rFonts w:ascii="Tahoma" w:hAnsi="Tahoma" w:cs="Tahoma"/>
                <w:sz w:val="18"/>
                <w:szCs w:val="18"/>
              </w:rPr>
              <w:t>4</w:t>
            </w:r>
            <w:r w:rsidR="00ED250D" w:rsidRPr="00F0305E">
              <w:rPr>
                <w:rFonts w:ascii="Tahoma" w:hAnsi="Tahoma" w:cs="Tahoma"/>
                <w:sz w:val="18"/>
                <w:szCs w:val="18"/>
              </w:rPr>
              <w:t>.</w:t>
            </w:r>
          </w:p>
        </w:tc>
        <w:tc>
          <w:tcPr>
            <w:tcW w:w="4221" w:type="dxa"/>
            <w:gridSpan w:val="2"/>
            <w:vAlign w:val="center"/>
          </w:tcPr>
          <w:p w:rsidR="000A3E89" w:rsidRPr="00F0305E" w:rsidRDefault="000A3E89" w:rsidP="009252B9">
            <w:pPr>
              <w:pStyle w:val="-HTML"/>
              <w:jc w:val="both"/>
              <w:rPr>
                <w:rFonts w:ascii="Tahoma" w:hAnsi="Tahoma" w:cs="Tahoma"/>
                <w:color w:val="000000"/>
                <w:sz w:val="18"/>
                <w:szCs w:val="18"/>
              </w:rPr>
            </w:pPr>
            <w:r w:rsidRPr="00F0305E">
              <w:rPr>
                <w:rFonts w:ascii="Tahoma" w:hAnsi="Tahoma" w:cs="Tahoma"/>
                <w:color w:val="000000"/>
                <w:sz w:val="18"/>
                <w:szCs w:val="18"/>
              </w:rPr>
              <w:t xml:space="preserve">Η διαδικασία με διαπραγμάτευση χωρίς προηγούμενη δημοσίευση μπορεί να χρησιμοποιείται για δημόσιες συμβάσεις προμηθειών και υπηρεσιών για την αγορά αγαθών ή υπηρεσιών, υπό ιδιαίτερα </w:t>
            </w:r>
            <w:r w:rsidR="007827D7" w:rsidRPr="00F0305E">
              <w:rPr>
                <w:rFonts w:ascii="Tahoma" w:hAnsi="Tahoma" w:cs="Tahoma"/>
                <w:color w:val="000000"/>
                <w:sz w:val="18"/>
                <w:szCs w:val="18"/>
              </w:rPr>
              <w:t>ευνοϊκούς</w:t>
            </w:r>
            <w:r w:rsidRPr="00F0305E">
              <w:rPr>
                <w:rFonts w:ascii="Tahoma" w:hAnsi="Tahoma" w:cs="Tahoma"/>
                <w:color w:val="000000"/>
                <w:sz w:val="18"/>
                <w:szCs w:val="18"/>
              </w:rPr>
              <w:t xml:space="preserve"> όρους είτε από προμηθευτή που παύει οριστικά τις εμπορικές του δραστηριότητες είτε από τον εκκαθαριστή διαδικασίας αφερεγγυότητας, δικαστικού συμβιβασμού ή ανάλογης διαδικασίας που προβλέπεται σε διατάξεις νόμου.</w:t>
            </w:r>
          </w:p>
          <w:p w:rsidR="00351413" w:rsidRPr="00F0305E" w:rsidRDefault="00351413" w:rsidP="00755DFB">
            <w:pPr>
              <w:spacing w:before="60" w:after="60" w:line="240" w:lineRule="exact"/>
              <w:rPr>
                <w:rFonts w:ascii="Tahoma" w:hAnsi="Tahoma" w:cs="Tahoma"/>
                <w:bCs/>
                <w:sz w:val="18"/>
                <w:szCs w:val="18"/>
              </w:rPr>
            </w:pPr>
          </w:p>
        </w:tc>
        <w:tc>
          <w:tcPr>
            <w:tcW w:w="638" w:type="dxa"/>
            <w:gridSpan w:val="2"/>
            <w:vAlign w:val="center"/>
          </w:tcPr>
          <w:p w:rsidR="00351413" w:rsidRPr="00F0305E" w:rsidRDefault="00351413" w:rsidP="009A78A6">
            <w:pPr>
              <w:spacing w:before="60" w:after="60" w:line="240" w:lineRule="exact"/>
              <w:rPr>
                <w:rFonts w:ascii="Tahoma" w:hAnsi="Tahoma" w:cs="Tahoma"/>
                <w:sz w:val="18"/>
                <w:szCs w:val="18"/>
              </w:rPr>
            </w:pPr>
          </w:p>
        </w:tc>
        <w:tc>
          <w:tcPr>
            <w:tcW w:w="567" w:type="dxa"/>
            <w:vAlign w:val="center"/>
          </w:tcPr>
          <w:p w:rsidR="00351413" w:rsidRPr="00F0305E" w:rsidRDefault="00351413" w:rsidP="009A78A6">
            <w:pPr>
              <w:spacing w:before="60" w:after="60" w:line="240" w:lineRule="exact"/>
              <w:rPr>
                <w:rFonts w:ascii="Tahoma" w:hAnsi="Tahoma" w:cs="Tahoma"/>
                <w:sz w:val="18"/>
                <w:szCs w:val="18"/>
              </w:rPr>
            </w:pPr>
          </w:p>
        </w:tc>
        <w:tc>
          <w:tcPr>
            <w:tcW w:w="850" w:type="dxa"/>
            <w:vAlign w:val="center"/>
          </w:tcPr>
          <w:p w:rsidR="00351413" w:rsidRPr="00F0305E" w:rsidRDefault="00351413" w:rsidP="009A78A6">
            <w:pPr>
              <w:spacing w:before="60" w:after="60" w:line="240" w:lineRule="exact"/>
              <w:rPr>
                <w:rFonts w:ascii="Tahoma" w:hAnsi="Tahoma" w:cs="Tahoma"/>
                <w:sz w:val="18"/>
                <w:szCs w:val="18"/>
              </w:rPr>
            </w:pPr>
          </w:p>
        </w:tc>
        <w:tc>
          <w:tcPr>
            <w:tcW w:w="4667" w:type="dxa"/>
            <w:gridSpan w:val="2"/>
            <w:shd w:val="clear" w:color="auto" w:fill="auto"/>
            <w:vAlign w:val="center"/>
          </w:tcPr>
          <w:p w:rsidR="007827D7" w:rsidRPr="00F0305E" w:rsidRDefault="007827D7" w:rsidP="007827D7">
            <w:pPr>
              <w:spacing w:before="60" w:after="60" w:line="240" w:lineRule="exact"/>
              <w:rPr>
                <w:rFonts w:ascii="Tahoma" w:hAnsi="Tahoma" w:cs="Tahoma"/>
                <w:sz w:val="18"/>
                <w:szCs w:val="18"/>
              </w:rPr>
            </w:pPr>
            <w:r w:rsidRPr="00F0305E">
              <w:rPr>
                <w:rFonts w:ascii="Tahoma" w:hAnsi="Tahoma" w:cs="Tahoma"/>
                <w:sz w:val="18"/>
                <w:szCs w:val="18"/>
              </w:rPr>
              <w:t>Υποβάλλεται έκθεση τεκμηρίωσης. Επίσης, σε πε</w:t>
            </w:r>
            <w:r w:rsidR="008858B7" w:rsidRPr="00F0305E">
              <w:rPr>
                <w:rFonts w:ascii="Tahoma" w:hAnsi="Tahoma" w:cs="Tahoma"/>
                <w:sz w:val="18"/>
                <w:szCs w:val="18"/>
              </w:rPr>
              <w:t xml:space="preserve">ρίπτωση </w:t>
            </w:r>
            <w:r w:rsidR="00F0305E">
              <w:rPr>
                <w:rFonts w:ascii="Tahoma" w:hAnsi="Tahoma" w:cs="Tahoma"/>
                <w:sz w:val="18"/>
                <w:szCs w:val="18"/>
              </w:rPr>
              <w:t xml:space="preserve">γνώμης </w:t>
            </w:r>
            <w:r w:rsidR="008858B7" w:rsidRPr="00F0305E">
              <w:rPr>
                <w:rFonts w:ascii="Tahoma" w:hAnsi="Tahoma" w:cs="Tahoma"/>
                <w:sz w:val="18"/>
                <w:szCs w:val="18"/>
              </w:rPr>
              <w:t>από την ΕΑΔΗΣΥ</w:t>
            </w:r>
            <w:r w:rsidRPr="00F0305E">
              <w:rPr>
                <w:rFonts w:ascii="Tahoma" w:hAnsi="Tahoma" w:cs="Tahoma"/>
                <w:sz w:val="18"/>
                <w:szCs w:val="18"/>
              </w:rPr>
              <w:t xml:space="preserve"> συνυποβάλλεται και το σχετικό υλικό.</w:t>
            </w:r>
          </w:p>
          <w:p w:rsidR="00C5517D" w:rsidRPr="00F0305E" w:rsidRDefault="00D4246A" w:rsidP="00D023C6">
            <w:pPr>
              <w:spacing w:before="60" w:after="60" w:line="240" w:lineRule="exact"/>
              <w:rPr>
                <w:rFonts w:ascii="Tahoma" w:hAnsi="Tahoma" w:cs="Tahoma"/>
                <w:sz w:val="18"/>
                <w:szCs w:val="18"/>
              </w:rPr>
            </w:pPr>
            <w:r w:rsidRPr="00F0305E">
              <w:rPr>
                <w:rFonts w:ascii="Tahoma" w:hAnsi="Tahoma" w:cs="Tahoma"/>
                <w:color w:val="000000" w:themeColor="text1"/>
                <w:sz w:val="18"/>
                <w:szCs w:val="18"/>
              </w:rPr>
              <w:t>Άρθρο 32.3. του ν. 4412/2016.</w:t>
            </w:r>
          </w:p>
        </w:tc>
        <w:tc>
          <w:tcPr>
            <w:tcW w:w="3394" w:type="dxa"/>
            <w:gridSpan w:val="3"/>
            <w:vAlign w:val="center"/>
          </w:tcPr>
          <w:p w:rsidR="00D023C6" w:rsidRPr="00F0305E" w:rsidRDefault="00D023C6" w:rsidP="00ED250D">
            <w:pPr>
              <w:spacing w:before="60" w:after="60" w:line="240" w:lineRule="exact"/>
              <w:rPr>
                <w:rFonts w:ascii="Tahoma" w:hAnsi="Tahoma" w:cs="Tahoma"/>
                <w:color w:val="000000" w:themeColor="text1"/>
                <w:sz w:val="18"/>
                <w:szCs w:val="18"/>
              </w:rPr>
            </w:pPr>
          </w:p>
        </w:tc>
      </w:tr>
      <w:tr w:rsidR="00A85BA7" w:rsidRPr="00F0305E" w:rsidTr="00FF2E2C">
        <w:trPr>
          <w:trHeight w:val="1385"/>
          <w:jc w:val="center"/>
        </w:trPr>
        <w:tc>
          <w:tcPr>
            <w:tcW w:w="665" w:type="dxa"/>
            <w:vAlign w:val="center"/>
          </w:tcPr>
          <w:p w:rsidR="00A85BA7" w:rsidRPr="00F0305E" w:rsidRDefault="006E1FAF" w:rsidP="000A2573">
            <w:pPr>
              <w:spacing w:before="60" w:after="60" w:line="240" w:lineRule="exact"/>
              <w:jc w:val="center"/>
              <w:rPr>
                <w:rFonts w:ascii="Tahoma" w:hAnsi="Tahoma" w:cs="Tahoma"/>
                <w:sz w:val="18"/>
                <w:szCs w:val="18"/>
              </w:rPr>
            </w:pPr>
            <w:r w:rsidRPr="00F0305E">
              <w:rPr>
                <w:rFonts w:ascii="Tahoma" w:hAnsi="Tahoma" w:cs="Tahoma"/>
                <w:sz w:val="18"/>
                <w:szCs w:val="18"/>
              </w:rPr>
              <w:lastRenderedPageBreak/>
              <w:t>5</w:t>
            </w:r>
            <w:r w:rsidR="00A85BA7" w:rsidRPr="00F0305E">
              <w:rPr>
                <w:rFonts w:ascii="Tahoma" w:hAnsi="Tahoma" w:cs="Tahoma"/>
                <w:sz w:val="18"/>
                <w:szCs w:val="18"/>
              </w:rPr>
              <w:t>.</w:t>
            </w:r>
          </w:p>
        </w:tc>
        <w:tc>
          <w:tcPr>
            <w:tcW w:w="4221" w:type="dxa"/>
            <w:gridSpan w:val="2"/>
            <w:vAlign w:val="center"/>
          </w:tcPr>
          <w:p w:rsidR="000A3E89" w:rsidRPr="00F0305E" w:rsidRDefault="000A3E89" w:rsidP="00AD1A2D">
            <w:pPr>
              <w:pStyle w:val="-HTML"/>
              <w:jc w:val="both"/>
              <w:rPr>
                <w:rFonts w:ascii="Tahoma" w:hAnsi="Tahoma" w:cs="Tahoma"/>
                <w:color w:val="000000"/>
                <w:sz w:val="18"/>
                <w:szCs w:val="18"/>
              </w:rPr>
            </w:pPr>
            <w:r w:rsidRPr="00F0305E">
              <w:rPr>
                <w:rFonts w:ascii="Tahoma" w:hAnsi="Tahoma" w:cs="Tahoma"/>
                <w:color w:val="000000"/>
                <w:sz w:val="18"/>
                <w:szCs w:val="18"/>
              </w:rPr>
              <w:t>Η διαδικασία με διαπραγμάτευση χωρίς προηγούμενη δημοσίευση μπορεί να χρησιμοποιείται για δημόσιες συμβάσεις προμηθειών:</w:t>
            </w:r>
          </w:p>
          <w:p w:rsidR="000A3E89" w:rsidRPr="00F0305E" w:rsidRDefault="000A3E89" w:rsidP="00AD1A2D">
            <w:pPr>
              <w:pStyle w:val="-HTML"/>
              <w:jc w:val="both"/>
              <w:rPr>
                <w:rFonts w:ascii="Tahoma" w:hAnsi="Tahoma" w:cs="Tahoma"/>
                <w:color w:val="000000"/>
                <w:sz w:val="18"/>
                <w:szCs w:val="18"/>
              </w:rPr>
            </w:pPr>
          </w:p>
          <w:p w:rsidR="000A3E89" w:rsidRPr="00F0305E" w:rsidRDefault="000A3E89" w:rsidP="00AD1A2D">
            <w:pPr>
              <w:pStyle w:val="-HTML"/>
              <w:jc w:val="both"/>
              <w:rPr>
                <w:rFonts w:ascii="Tahoma" w:hAnsi="Tahoma" w:cs="Tahoma"/>
                <w:color w:val="000000"/>
                <w:sz w:val="18"/>
                <w:szCs w:val="18"/>
              </w:rPr>
            </w:pPr>
            <w:r w:rsidRPr="00F0305E">
              <w:rPr>
                <w:rFonts w:ascii="Tahoma" w:hAnsi="Tahoma" w:cs="Tahoma"/>
                <w:color w:val="000000"/>
                <w:sz w:val="18"/>
                <w:szCs w:val="18"/>
              </w:rPr>
              <w:t>α) όταν τα σχετικά προϊόντα κατασκευάζονται αποκλειστικά για σκοπούς έρευνας, πειραματισμού, μελέτης ή ανάπτυξης· ωστόσο, οι συμβάσεις που ανατίθενται δυνάμει της παρούσας περίπτωσης δεν περιλαμβάνουν την παραγωγή ποσοτήτων ικανών να εξασφαλίζουν την εμπορική βιωσιμότητα του προϊόντος ή την απόσβεση των δαπανών έρευνας και ανάπτυξης,</w:t>
            </w:r>
          </w:p>
          <w:p w:rsidR="000A3E89" w:rsidRPr="00F0305E" w:rsidRDefault="000A3E89" w:rsidP="000A3E89">
            <w:pPr>
              <w:pStyle w:val="-HTML"/>
              <w:rPr>
                <w:rFonts w:ascii="Tahoma" w:hAnsi="Tahoma" w:cs="Tahoma"/>
                <w:color w:val="000000"/>
                <w:sz w:val="18"/>
                <w:szCs w:val="18"/>
              </w:rPr>
            </w:pPr>
          </w:p>
          <w:p w:rsidR="000A3E89" w:rsidRPr="00F0305E" w:rsidRDefault="000A3E89" w:rsidP="00AD1A2D">
            <w:pPr>
              <w:pStyle w:val="-HTML"/>
              <w:jc w:val="both"/>
              <w:rPr>
                <w:rFonts w:ascii="Tahoma" w:hAnsi="Tahoma" w:cs="Tahoma"/>
                <w:color w:val="000000"/>
                <w:sz w:val="18"/>
                <w:szCs w:val="18"/>
              </w:rPr>
            </w:pPr>
            <w:r w:rsidRPr="00F0305E">
              <w:rPr>
                <w:rFonts w:ascii="Tahoma" w:hAnsi="Tahoma" w:cs="Tahoma"/>
                <w:color w:val="000000"/>
                <w:sz w:val="18"/>
                <w:szCs w:val="18"/>
              </w:rPr>
              <w:t>β) για συμπληρωματικές παραδόσεις που πραγματοποιούνται από τον αρχικό προμηθευτή και προορίζονται είτε για τη μερική αντικατάσταση αγαθών ή εγκαταστάσεων είτε για επέκταση υφιστάμενων αγαθών ή εγκαταστάσεων, εφόσον η αλλαγή προμηθευτή θα υποχρέωνε την αναθέτουσα αρχή να αποκτά αγαθά με διαφορετικά τεχνικά χαρακτηριστικά τα οποία θα προκαλούσαν ασυμβατότητα ή δυσανάλογες τεχνικές δυσχέρειες στη χρήση και τη συντήρηση η διάρκεια αυτών των συμβάσεων, καθώς και των επαναλαμβανόμενων συμβάσεων, δεν υπερβαίνει κατά κανόνα τα τρία έτη,</w:t>
            </w:r>
          </w:p>
          <w:p w:rsidR="000A3E89" w:rsidRPr="00F0305E" w:rsidRDefault="000A3E89" w:rsidP="00AD1A2D">
            <w:pPr>
              <w:pStyle w:val="-HTML"/>
              <w:jc w:val="both"/>
              <w:rPr>
                <w:rFonts w:ascii="Tahoma" w:hAnsi="Tahoma" w:cs="Tahoma"/>
                <w:color w:val="000000"/>
                <w:sz w:val="18"/>
                <w:szCs w:val="18"/>
              </w:rPr>
            </w:pPr>
          </w:p>
          <w:p w:rsidR="000A3E89" w:rsidRPr="00F0305E" w:rsidRDefault="000A3E89" w:rsidP="00AD1A2D">
            <w:pPr>
              <w:pStyle w:val="-HTML"/>
              <w:jc w:val="both"/>
              <w:rPr>
                <w:rFonts w:ascii="Tahoma" w:hAnsi="Tahoma" w:cs="Tahoma"/>
                <w:color w:val="000000"/>
                <w:sz w:val="18"/>
                <w:szCs w:val="18"/>
              </w:rPr>
            </w:pPr>
            <w:r w:rsidRPr="00F0305E">
              <w:rPr>
                <w:rFonts w:ascii="Tahoma" w:hAnsi="Tahoma" w:cs="Tahoma"/>
                <w:color w:val="000000"/>
                <w:sz w:val="18"/>
                <w:szCs w:val="18"/>
              </w:rPr>
              <w:t>γ) εάν πρόκειται για αγαθά που είναι εισηγμένα και αγοράζονται σε χρηματιστήριο εμπορευμάτων.</w:t>
            </w:r>
          </w:p>
          <w:p w:rsidR="00A85BA7" w:rsidRPr="00F0305E" w:rsidRDefault="00A85BA7" w:rsidP="00D6013F">
            <w:pPr>
              <w:spacing w:before="60" w:after="60" w:line="240" w:lineRule="exact"/>
              <w:rPr>
                <w:rFonts w:ascii="Tahoma" w:hAnsi="Tahoma" w:cs="Tahoma"/>
                <w:bCs/>
                <w:sz w:val="18"/>
                <w:szCs w:val="18"/>
              </w:rPr>
            </w:pPr>
          </w:p>
        </w:tc>
        <w:tc>
          <w:tcPr>
            <w:tcW w:w="638" w:type="dxa"/>
            <w:gridSpan w:val="2"/>
            <w:vAlign w:val="center"/>
          </w:tcPr>
          <w:p w:rsidR="00A85BA7" w:rsidRPr="00F0305E" w:rsidRDefault="00A85BA7" w:rsidP="009A78A6">
            <w:pPr>
              <w:spacing w:before="60" w:after="60" w:line="240" w:lineRule="exact"/>
              <w:rPr>
                <w:rFonts w:ascii="Tahoma" w:hAnsi="Tahoma" w:cs="Tahoma"/>
                <w:sz w:val="18"/>
                <w:szCs w:val="18"/>
              </w:rPr>
            </w:pPr>
          </w:p>
        </w:tc>
        <w:tc>
          <w:tcPr>
            <w:tcW w:w="567" w:type="dxa"/>
            <w:vAlign w:val="center"/>
          </w:tcPr>
          <w:p w:rsidR="00A85BA7" w:rsidRPr="00F0305E" w:rsidRDefault="00A85BA7" w:rsidP="009A78A6">
            <w:pPr>
              <w:spacing w:before="60" w:after="60" w:line="240" w:lineRule="exact"/>
              <w:rPr>
                <w:rFonts w:ascii="Tahoma" w:hAnsi="Tahoma" w:cs="Tahoma"/>
                <w:sz w:val="18"/>
                <w:szCs w:val="18"/>
              </w:rPr>
            </w:pPr>
          </w:p>
        </w:tc>
        <w:tc>
          <w:tcPr>
            <w:tcW w:w="850" w:type="dxa"/>
            <w:vAlign w:val="center"/>
          </w:tcPr>
          <w:p w:rsidR="00A85BA7" w:rsidRPr="00F0305E" w:rsidRDefault="00A85BA7" w:rsidP="009A78A6">
            <w:pPr>
              <w:spacing w:before="60" w:after="60" w:line="240" w:lineRule="exact"/>
              <w:rPr>
                <w:rFonts w:ascii="Tahoma" w:hAnsi="Tahoma" w:cs="Tahoma"/>
                <w:sz w:val="18"/>
                <w:szCs w:val="18"/>
              </w:rPr>
            </w:pPr>
          </w:p>
        </w:tc>
        <w:tc>
          <w:tcPr>
            <w:tcW w:w="4667" w:type="dxa"/>
            <w:gridSpan w:val="2"/>
            <w:shd w:val="clear" w:color="auto" w:fill="auto"/>
            <w:vAlign w:val="center"/>
          </w:tcPr>
          <w:p w:rsidR="00F80DF3" w:rsidRPr="00F0305E" w:rsidRDefault="00F80DF3" w:rsidP="00F80DF3">
            <w:pPr>
              <w:spacing w:before="60" w:after="60" w:line="240" w:lineRule="exact"/>
              <w:rPr>
                <w:rFonts w:ascii="Tahoma" w:hAnsi="Tahoma" w:cs="Tahoma"/>
                <w:sz w:val="18"/>
                <w:szCs w:val="18"/>
              </w:rPr>
            </w:pPr>
            <w:r w:rsidRPr="00F0305E">
              <w:rPr>
                <w:rFonts w:ascii="Tahoma" w:hAnsi="Tahoma" w:cs="Tahoma"/>
                <w:sz w:val="18"/>
                <w:szCs w:val="18"/>
              </w:rPr>
              <w:t>Υποβάλλεται έκθεση τεκμηρίωση</w:t>
            </w:r>
            <w:r w:rsidR="00F0305E">
              <w:rPr>
                <w:rFonts w:ascii="Tahoma" w:hAnsi="Tahoma" w:cs="Tahoma"/>
                <w:sz w:val="18"/>
                <w:szCs w:val="18"/>
              </w:rPr>
              <w:t>ς. Επίσης, σε περίπτωση γνώμης</w:t>
            </w:r>
            <w:r w:rsidRPr="00F0305E">
              <w:rPr>
                <w:rFonts w:ascii="Tahoma" w:hAnsi="Tahoma" w:cs="Tahoma"/>
                <w:sz w:val="18"/>
                <w:szCs w:val="18"/>
              </w:rPr>
              <w:t xml:space="preserve"> από την ΕΑΔΗΣΥ συνυποβάλλεται και το σχετικό υλικό.</w:t>
            </w:r>
          </w:p>
          <w:p w:rsidR="00A85BA7" w:rsidRPr="00F0305E" w:rsidRDefault="00D4246A" w:rsidP="001C1247">
            <w:pPr>
              <w:spacing w:before="60" w:after="60" w:line="240" w:lineRule="exact"/>
              <w:rPr>
                <w:rFonts w:ascii="Tahoma" w:hAnsi="Tahoma" w:cs="Tahoma"/>
                <w:sz w:val="18"/>
                <w:szCs w:val="18"/>
              </w:rPr>
            </w:pPr>
            <w:r w:rsidRPr="00F0305E">
              <w:rPr>
                <w:rFonts w:ascii="Tahoma" w:hAnsi="Tahoma" w:cs="Tahoma"/>
                <w:color w:val="000000" w:themeColor="text1"/>
                <w:sz w:val="18"/>
                <w:szCs w:val="18"/>
              </w:rPr>
              <w:t>Άρθρο 32.4. του ν. 4412/2016</w:t>
            </w:r>
          </w:p>
        </w:tc>
        <w:tc>
          <w:tcPr>
            <w:tcW w:w="3394" w:type="dxa"/>
            <w:gridSpan w:val="3"/>
            <w:vAlign w:val="center"/>
          </w:tcPr>
          <w:p w:rsidR="00416317" w:rsidRPr="00F0305E" w:rsidRDefault="00416317" w:rsidP="002C0E30">
            <w:pPr>
              <w:spacing w:before="60" w:after="60" w:line="240" w:lineRule="exact"/>
              <w:rPr>
                <w:rFonts w:ascii="Tahoma" w:hAnsi="Tahoma" w:cs="Tahoma"/>
                <w:color w:val="FF0000"/>
                <w:sz w:val="18"/>
                <w:szCs w:val="18"/>
              </w:rPr>
            </w:pPr>
          </w:p>
        </w:tc>
      </w:tr>
      <w:tr w:rsidR="009855FF" w:rsidRPr="00F0305E" w:rsidTr="00FF2E2C">
        <w:trPr>
          <w:trHeight w:val="3359"/>
          <w:jc w:val="center"/>
        </w:trPr>
        <w:tc>
          <w:tcPr>
            <w:tcW w:w="665" w:type="dxa"/>
            <w:vAlign w:val="center"/>
          </w:tcPr>
          <w:p w:rsidR="009855FF" w:rsidRPr="00F0305E" w:rsidRDefault="006E1FAF" w:rsidP="006E1FAF">
            <w:pPr>
              <w:spacing w:before="60" w:after="60" w:line="240" w:lineRule="exact"/>
              <w:jc w:val="center"/>
              <w:rPr>
                <w:rFonts w:ascii="Tahoma" w:hAnsi="Tahoma" w:cs="Tahoma"/>
                <w:sz w:val="18"/>
                <w:szCs w:val="18"/>
              </w:rPr>
            </w:pPr>
            <w:r w:rsidRPr="00F0305E">
              <w:rPr>
                <w:rFonts w:ascii="Tahoma" w:hAnsi="Tahoma" w:cs="Tahoma"/>
                <w:sz w:val="18"/>
                <w:szCs w:val="18"/>
                <w:lang w:val="en-US"/>
              </w:rPr>
              <w:lastRenderedPageBreak/>
              <w:t>6</w:t>
            </w:r>
            <w:r w:rsidR="009855FF" w:rsidRPr="00F0305E">
              <w:rPr>
                <w:rFonts w:ascii="Tahoma" w:hAnsi="Tahoma" w:cs="Tahoma"/>
                <w:sz w:val="18"/>
                <w:szCs w:val="18"/>
              </w:rPr>
              <w:t>.</w:t>
            </w:r>
          </w:p>
        </w:tc>
        <w:tc>
          <w:tcPr>
            <w:tcW w:w="4221" w:type="dxa"/>
            <w:gridSpan w:val="2"/>
            <w:vAlign w:val="center"/>
          </w:tcPr>
          <w:p w:rsidR="000A3E89" w:rsidRPr="00F0305E" w:rsidRDefault="000A3E89" w:rsidP="00223C37">
            <w:pPr>
              <w:pStyle w:val="-HTML"/>
              <w:jc w:val="both"/>
              <w:rPr>
                <w:rFonts w:ascii="Tahoma" w:hAnsi="Tahoma" w:cs="Tahoma"/>
                <w:color w:val="000000"/>
                <w:sz w:val="18"/>
                <w:szCs w:val="18"/>
              </w:rPr>
            </w:pPr>
            <w:r w:rsidRPr="00F0305E">
              <w:rPr>
                <w:rFonts w:ascii="Tahoma" w:hAnsi="Tahoma" w:cs="Tahoma"/>
                <w:color w:val="000000"/>
                <w:sz w:val="18"/>
                <w:szCs w:val="18"/>
              </w:rPr>
              <w:t>Η διαδικασία με διαπραγμάτευση χωρίς προηγούμενη δημοσίευση μπορεί να χρησιμοποιείται για δημόσιες συμβάσεις υπηρεσιών όταν η σχετική σύμβαση έπεται διαγωνισμού μελετών που έχει διοργανωθεί, σύμφωνα με τα Μέρος Α` του παρόντος Β</w:t>
            </w:r>
            <w:r w:rsidR="00F80DF3" w:rsidRPr="00F0305E">
              <w:rPr>
                <w:rFonts w:ascii="Tahoma" w:hAnsi="Tahoma" w:cs="Tahoma"/>
                <w:color w:val="000000"/>
                <w:sz w:val="18"/>
                <w:szCs w:val="18"/>
              </w:rPr>
              <w:t>ιβλίου και πρέπει, σ</w:t>
            </w:r>
            <w:r w:rsidRPr="00F0305E">
              <w:rPr>
                <w:rFonts w:ascii="Tahoma" w:hAnsi="Tahoma" w:cs="Tahoma"/>
                <w:color w:val="000000"/>
                <w:sz w:val="18"/>
                <w:szCs w:val="18"/>
              </w:rPr>
              <w:t>ύμφωνα με τους κανόνες που προβλέπονται στο διαγωνισμό μελετών, να ανατεθεί στον νικητή ή σε έναν από τους νικητές του διαγωνισμού αυτού.</w:t>
            </w:r>
          </w:p>
          <w:p w:rsidR="000A3E89" w:rsidRPr="00F0305E" w:rsidRDefault="000A3E89" w:rsidP="00223C37">
            <w:pPr>
              <w:pStyle w:val="-HTML"/>
              <w:jc w:val="both"/>
              <w:rPr>
                <w:rFonts w:ascii="Tahoma" w:hAnsi="Tahoma" w:cs="Tahoma"/>
                <w:color w:val="000000"/>
                <w:sz w:val="18"/>
                <w:szCs w:val="18"/>
              </w:rPr>
            </w:pPr>
          </w:p>
          <w:p w:rsidR="000A3E89" w:rsidRPr="00F0305E" w:rsidRDefault="000A3E89" w:rsidP="00223C37">
            <w:pPr>
              <w:pStyle w:val="-HTML"/>
              <w:jc w:val="both"/>
              <w:rPr>
                <w:rFonts w:ascii="Tahoma" w:hAnsi="Tahoma" w:cs="Tahoma"/>
                <w:color w:val="000000"/>
                <w:sz w:val="18"/>
                <w:szCs w:val="18"/>
              </w:rPr>
            </w:pPr>
            <w:r w:rsidRPr="00F0305E">
              <w:rPr>
                <w:rFonts w:ascii="Tahoma" w:hAnsi="Tahoma" w:cs="Tahoma"/>
                <w:color w:val="000000"/>
                <w:sz w:val="18"/>
                <w:szCs w:val="18"/>
              </w:rPr>
              <w:t xml:space="preserve"> Στην τελευταία αυτή περίπτωση, όλοι οι νικητές του διαγωνισμού πρέπει να καλούνται να συμμετάσχουν στις διαπραγματεύσεις.</w:t>
            </w:r>
          </w:p>
          <w:p w:rsidR="009855FF" w:rsidRPr="00F0305E" w:rsidRDefault="009855FF" w:rsidP="00F936B8">
            <w:pPr>
              <w:spacing w:before="60" w:after="60" w:line="240" w:lineRule="exact"/>
              <w:rPr>
                <w:rFonts w:ascii="Tahoma" w:hAnsi="Tahoma" w:cs="Tahoma"/>
                <w:bCs/>
                <w:sz w:val="18"/>
                <w:szCs w:val="18"/>
              </w:rPr>
            </w:pPr>
          </w:p>
        </w:tc>
        <w:tc>
          <w:tcPr>
            <w:tcW w:w="638" w:type="dxa"/>
            <w:gridSpan w:val="2"/>
            <w:vAlign w:val="center"/>
          </w:tcPr>
          <w:p w:rsidR="009855FF" w:rsidRPr="00F0305E" w:rsidRDefault="009855FF" w:rsidP="009A78A6">
            <w:pPr>
              <w:spacing w:before="60" w:after="60" w:line="240" w:lineRule="exact"/>
              <w:rPr>
                <w:rFonts w:ascii="Tahoma" w:hAnsi="Tahoma" w:cs="Tahoma"/>
                <w:sz w:val="18"/>
                <w:szCs w:val="18"/>
              </w:rPr>
            </w:pPr>
          </w:p>
        </w:tc>
        <w:tc>
          <w:tcPr>
            <w:tcW w:w="567" w:type="dxa"/>
            <w:vAlign w:val="center"/>
          </w:tcPr>
          <w:p w:rsidR="009855FF" w:rsidRPr="00F0305E" w:rsidRDefault="009855FF" w:rsidP="009A78A6">
            <w:pPr>
              <w:spacing w:before="60" w:after="60" w:line="240" w:lineRule="exact"/>
              <w:rPr>
                <w:rFonts w:ascii="Tahoma" w:hAnsi="Tahoma" w:cs="Tahoma"/>
                <w:sz w:val="18"/>
                <w:szCs w:val="18"/>
              </w:rPr>
            </w:pPr>
          </w:p>
        </w:tc>
        <w:tc>
          <w:tcPr>
            <w:tcW w:w="850" w:type="dxa"/>
            <w:vAlign w:val="center"/>
          </w:tcPr>
          <w:p w:rsidR="009855FF" w:rsidRPr="00F0305E" w:rsidRDefault="009855FF" w:rsidP="009A78A6">
            <w:pPr>
              <w:spacing w:before="60" w:after="60" w:line="240" w:lineRule="exact"/>
              <w:rPr>
                <w:rFonts w:ascii="Tahoma" w:hAnsi="Tahoma" w:cs="Tahoma"/>
                <w:sz w:val="18"/>
                <w:szCs w:val="18"/>
              </w:rPr>
            </w:pPr>
          </w:p>
        </w:tc>
        <w:tc>
          <w:tcPr>
            <w:tcW w:w="4667" w:type="dxa"/>
            <w:gridSpan w:val="2"/>
            <w:shd w:val="clear" w:color="auto" w:fill="auto"/>
            <w:vAlign w:val="center"/>
          </w:tcPr>
          <w:p w:rsidR="00F80DF3" w:rsidRPr="00F0305E" w:rsidRDefault="00F80DF3" w:rsidP="00D4246A">
            <w:pPr>
              <w:spacing w:before="60" w:after="60" w:line="240" w:lineRule="exact"/>
              <w:jc w:val="both"/>
              <w:rPr>
                <w:rFonts w:ascii="Tahoma" w:hAnsi="Tahoma" w:cs="Tahoma"/>
                <w:sz w:val="18"/>
                <w:szCs w:val="18"/>
              </w:rPr>
            </w:pPr>
            <w:r w:rsidRPr="00F0305E">
              <w:rPr>
                <w:rFonts w:ascii="Tahoma" w:hAnsi="Tahoma" w:cs="Tahoma"/>
                <w:sz w:val="18"/>
                <w:szCs w:val="18"/>
              </w:rPr>
              <w:t>Υποβάλλεται έκθεση τεκμηρίωσης. Επίσης, σε περίπτωση έγκρισης από την ΕΑΔΗΣΥ συνυποβάλλεται και το σχετικό υλικό.</w:t>
            </w:r>
          </w:p>
          <w:p w:rsidR="009855FF" w:rsidRPr="00F0305E" w:rsidRDefault="00D4246A" w:rsidP="00D4246A">
            <w:pPr>
              <w:spacing w:before="60" w:after="60" w:line="240" w:lineRule="exact"/>
              <w:jc w:val="both"/>
              <w:rPr>
                <w:rFonts w:ascii="Tahoma" w:hAnsi="Tahoma" w:cs="Tahoma"/>
                <w:sz w:val="18"/>
                <w:szCs w:val="18"/>
              </w:rPr>
            </w:pPr>
            <w:r w:rsidRPr="00F0305E">
              <w:rPr>
                <w:rFonts w:ascii="Tahoma" w:hAnsi="Tahoma" w:cs="Tahoma"/>
                <w:color w:val="000000" w:themeColor="text1"/>
                <w:sz w:val="18"/>
                <w:szCs w:val="18"/>
              </w:rPr>
              <w:t>Άρθρο 32.5. του ν. 4412/2016</w:t>
            </w:r>
          </w:p>
        </w:tc>
        <w:tc>
          <w:tcPr>
            <w:tcW w:w="3394" w:type="dxa"/>
            <w:gridSpan w:val="3"/>
            <w:vAlign w:val="center"/>
          </w:tcPr>
          <w:p w:rsidR="006152F0" w:rsidRPr="00F0305E" w:rsidRDefault="006152F0" w:rsidP="00AD1A2D">
            <w:pPr>
              <w:spacing w:before="60" w:after="60" w:line="240" w:lineRule="exact"/>
              <w:rPr>
                <w:rFonts w:ascii="Tahoma" w:hAnsi="Tahoma" w:cs="Tahoma"/>
                <w:color w:val="FF0000"/>
                <w:sz w:val="18"/>
                <w:szCs w:val="18"/>
                <w:highlight w:val="green"/>
              </w:rPr>
            </w:pPr>
          </w:p>
        </w:tc>
      </w:tr>
      <w:tr w:rsidR="009855FF" w:rsidRPr="00F0305E" w:rsidTr="00FF2E2C">
        <w:trPr>
          <w:trHeight w:val="524"/>
          <w:jc w:val="center"/>
        </w:trPr>
        <w:tc>
          <w:tcPr>
            <w:tcW w:w="665" w:type="dxa"/>
            <w:vAlign w:val="center"/>
          </w:tcPr>
          <w:p w:rsidR="009855FF" w:rsidRPr="00F0305E" w:rsidRDefault="006E1FAF" w:rsidP="006E1FAF">
            <w:pPr>
              <w:spacing w:before="60" w:after="60" w:line="240" w:lineRule="exact"/>
              <w:jc w:val="center"/>
              <w:rPr>
                <w:rFonts w:ascii="Tahoma" w:hAnsi="Tahoma" w:cs="Tahoma"/>
                <w:sz w:val="18"/>
                <w:szCs w:val="18"/>
              </w:rPr>
            </w:pPr>
            <w:r w:rsidRPr="00F0305E">
              <w:rPr>
                <w:rFonts w:ascii="Tahoma" w:hAnsi="Tahoma" w:cs="Tahoma"/>
                <w:sz w:val="18"/>
                <w:szCs w:val="18"/>
                <w:lang w:val="en-US"/>
              </w:rPr>
              <w:t>7</w:t>
            </w:r>
            <w:r w:rsidR="009855FF" w:rsidRPr="00F0305E">
              <w:rPr>
                <w:rFonts w:ascii="Tahoma" w:hAnsi="Tahoma" w:cs="Tahoma"/>
                <w:sz w:val="18"/>
                <w:szCs w:val="18"/>
              </w:rPr>
              <w:t>.</w:t>
            </w:r>
          </w:p>
        </w:tc>
        <w:tc>
          <w:tcPr>
            <w:tcW w:w="4221" w:type="dxa"/>
            <w:gridSpan w:val="2"/>
            <w:vAlign w:val="center"/>
          </w:tcPr>
          <w:p w:rsidR="009855FF" w:rsidRPr="00F0305E" w:rsidRDefault="000A3E89" w:rsidP="00096EEF">
            <w:pPr>
              <w:pStyle w:val="-HTML"/>
              <w:jc w:val="both"/>
              <w:rPr>
                <w:rFonts w:ascii="Tahoma" w:hAnsi="Tahoma" w:cs="Tahoma"/>
                <w:color w:val="000000"/>
                <w:sz w:val="18"/>
                <w:szCs w:val="18"/>
              </w:rPr>
            </w:pPr>
            <w:r w:rsidRPr="00F0305E">
              <w:rPr>
                <w:rFonts w:ascii="Tahoma" w:hAnsi="Tahoma" w:cs="Tahoma"/>
                <w:color w:val="000000"/>
                <w:sz w:val="18"/>
                <w:szCs w:val="18"/>
              </w:rPr>
              <w:t>Η διαδικασία με διαπραγμάτευση χωρίς προηγούμενη δημοσίευση μπορεί να χρησιμοποιείται για νέα έργα ή υπηρεσίες που συνίστανται στην επανάληψη παρόμοιων έργων ή υπηρεσιών που ανατέθηκαν στον οικονομικό φορέα ανάδοχο της αρχικής σύμβασης από τις ίδιες αναθέτουσες αρχές, υπό την προϋπόθεση ότι αυτά τα έργα ή υπηρεσίες είναι, σύμφωνα με μία βασική μελέτη και ότι αυτή η μελέτη αποτέλεσε αντικείμενο αρχικής σύμβασης, η οποία έχει συναφθεί, σύμφωνα με την παράγραφο 1 του άρθρου 26. Στη βασική μελέτη αναγράφεται η έκταση πιθανών συμπληρ</w:t>
            </w:r>
            <w:r w:rsidR="00F80DF3" w:rsidRPr="00F0305E">
              <w:rPr>
                <w:rFonts w:ascii="Tahoma" w:hAnsi="Tahoma" w:cs="Tahoma"/>
                <w:color w:val="000000"/>
                <w:sz w:val="18"/>
                <w:szCs w:val="18"/>
              </w:rPr>
              <w:t>ωματικών έργων ή υπηρεσιών και ο</w:t>
            </w:r>
            <w:r w:rsidRPr="00F0305E">
              <w:rPr>
                <w:rFonts w:ascii="Tahoma" w:hAnsi="Tahoma" w:cs="Tahoma"/>
                <w:color w:val="000000"/>
                <w:sz w:val="18"/>
                <w:szCs w:val="18"/>
              </w:rPr>
              <w:t xml:space="preserve">ι όροι ανάθεσής τους. Η δυνατότητα προσφυγής σε αυτή τη διαδικασία πρέπει να επισημαίνεται ήδη κατά την πρώτη προκήρυξη διαγωνισμού, και το συνολικό προβλεπόμενο ποσό για τη συνέχιση των εργασιών ή υπηρεσιών λαμβάνεται υπόψη από τις </w:t>
            </w:r>
            <w:r w:rsidR="00AD1A2D" w:rsidRPr="00F0305E">
              <w:rPr>
                <w:rFonts w:ascii="Tahoma" w:hAnsi="Tahoma" w:cs="Tahoma"/>
                <w:color w:val="000000"/>
                <w:sz w:val="18"/>
                <w:szCs w:val="18"/>
              </w:rPr>
              <w:t>αναθέτουσες</w:t>
            </w:r>
            <w:r w:rsidRPr="00F0305E">
              <w:rPr>
                <w:rFonts w:ascii="Tahoma" w:hAnsi="Tahoma" w:cs="Tahoma"/>
                <w:color w:val="000000"/>
                <w:sz w:val="18"/>
                <w:szCs w:val="18"/>
              </w:rPr>
              <w:t xml:space="preserve"> αρχές για την εφαρμογή του άρθρου 5. Προσφυγή στη διαδικασία αυτή επιτρέπεται μόνα εντός τριετίας μετά τη σύναψη της αρχικής σύμβασης.</w:t>
            </w:r>
          </w:p>
          <w:p w:rsidR="000A133D" w:rsidRPr="00F0305E" w:rsidRDefault="000A133D" w:rsidP="00096EEF">
            <w:pPr>
              <w:pStyle w:val="-HTML"/>
              <w:jc w:val="both"/>
              <w:rPr>
                <w:rFonts w:ascii="Tahoma" w:hAnsi="Tahoma" w:cs="Tahoma"/>
                <w:bCs/>
                <w:sz w:val="18"/>
                <w:szCs w:val="18"/>
              </w:rPr>
            </w:pPr>
          </w:p>
        </w:tc>
        <w:tc>
          <w:tcPr>
            <w:tcW w:w="638" w:type="dxa"/>
            <w:gridSpan w:val="2"/>
            <w:vAlign w:val="center"/>
          </w:tcPr>
          <w:p w:rsidR="009855FF" w:rsidRPr="00F0305E" w:rsidRDefault="009855FF" w:rsidP="009A78A6">
            <w:pPr>
              <w:spacing w:before="60" w:after="60" w:line="240" w:lineRule="exact"/>
              <w:rPr>
                <w:rFonts w:ascii="Tahoma" w:hAnsi="Tahoma" w:cs="Tahoma"/>
                <w:sz w:val="18"/>
                <w:szCs w:val="18"/>
              </w:rPr>
            </w:pPr>
          </w:p>
        </w:tc>
        <w:tc>
          <w:tcPr>
            <w:tcW w:w="567" w:type="dxa"/>
            <w:vAlign w:val="center"/>
          </w:tcPr>
          <w:p w:rsidR="009855FF" w:rsidRPr="00F0305E" w:rsidRDefault="009855FF" w:rsidP="009A78A6">
            <w:pPr>
              <w:spacing w:before="60" w:after="60" w:line="240" w:lineRule="exact"/>
              <w:rPr>
                <w:rFonts w:ascii="Tahoma" w:hAnsi="Tahoma" w:cs="Tahoma"/>
                <w:sz w:val="18"/>
                <w:szCs w:val="18"/>
              </w:rPr>
            </w:pPr>
          </w:p>
        </w:tc>
        <w:tc>
          <w:tcPr>
            <w:tcW w:w="850" w:type="dxa"/>
            <w:vAlign w:val="center"/>
          </w:tcPr>
          <w:p w:rsidR="009855FF" w:rsidRPr="00F0305E" w:rsidRDefault="009855FF" w:rsidP="009A78A6">
            <w:pPr>
              <w:spacing w:before="60" w:after="60" w:line="240" w:lineRule="exact"/>
              <w:rPr>
                <w:rFonts w:ascii="Tahoma" w:hAnsi="Tahoma" w:cs="Tahoma"/>
                <w:sz w:val="18"/>
                <w:szCs w:val="18"/>
              </w:rPr>
            </w:pPr>
          </w:p>
        </w:tc>
        <w:tc>
          <w:tcPr>
            <w:tcW w:w="4667" w:type="dxa"/>
            <w:gridSpan w:val="2"/>
            <w:shd w:val="clear" w:color="auto" w:fill="auto"/>
            <w:vAlign w:val="center"/>
          </w:tcPr>
          <w:p w:rsidR="00F80DF3" w:rsidRPr="00F0305E" w:rsidRDefault="00F80DF3" w:rsidP="00D4246A">
            <w:pPr>
              <w:spacing w:before="60" w:after="60" w:line="240" w:lineRule="exact"/>
              <w:jc w:val="both"/>
              <w:rPr>
                <w:rFonts w:ascii="Tahoma" w:hAnsi="Tahoma" w:cs="Tahoma"/>
                <w:sz w:val="18"/>
                <w:szCs w:val="18"/>
              </w:rPr>
            </w:pPr>
            <w:r w:rsidRPr="00F0305E">
              <w:rPr>
                <w:rFonts w:ascii="Tahoma" w:hAnsi="Tahoma" w:cs="Tahoma"/>
                <w:sz w:val="18"/>
                <w:szCs w:val="18"/>
              </w:rPr>
              <w:t>Υποβάλλεται έκθεση τεκμηρίωσης. Επίσης, σε περίπτωση έγκρισης από την ΕΑΔΗΣΥ ή το Ελεγκτικό Συνέδριο συνυποβάλλεται και το σχετικό υλικό.</w:t>
            </w:r>
          </w:p>
          <w:p w:rsidR="003164FA" w:rsidRPr="00F0305E" w:rsidRDefault="00D4246A" w:rsidP="00D4246A">
            <w:pPr>
              <w:spacing w:before="60" w:after="60" w:line="240" w:lineRule="exact"/>
              <w:jc w:val="both"/>
              <w:rPr>
                <w:rFonts w:ascii="Tahoma" w:hAnsi="Tahoma" w:cs="Tahoma"/>
                <w:sz w:val="18"/>
                <w:szCs w:val="18"/>
              </w:rPr>
            </w:pPr>
            <w:r w:rsidRPr="00F0305E">
              <w:rPr>
                <w:rFonts w:ascii="Tahoma" w:hAnsi="Tahoma" w:cs="Tahoma"/>
                <w:color w:val="000000" w:themeColor="text1"/>
                <w:sz w:val="18"/>
                <w:szCs w:val="18"/>
              </w:rPr>
              <w:t>Άρθρο 32.6. του ν. 4412/2016</w:t>
            </w:r>
          </w:p>
        </w:tc>
        <w:tc>
          <w:tcPr>
            <w:tcW w:w="3394" w:type="dxa"/>
            <w:gridSpan w:val="3"/>
            <w:vAlign w:val="center"/>
          </w:tcPr>
          <w:p w:rsidR="00416317" w:rsidRPr="00F0305E" w:rsidRDefault="00416317" w:rsidP="00223C37">
            <w:pPr>
              <w:spacing w:before="60" w:after="60" w:line="240" w:lineRule="exact"/>
              <w:rPr>
                <w:rFonts w:ascii="Tahoma" w:hAnsi="Tahoma" w:cs="Tahoma"/>
                <w:color w:val="FF0000"/>
                <w:sz w:val="18"/>
                <w:szCs w:val="18"/>
              </w:rPr>
            </w:pPr>
          </w:p>
        </w:tc>
      </w:tr>
      <w:tr w:rsidR="003F0BFE" w:rsidRPr="00F0305E" w:rsidTr="00FF2E2C">
        <w:trPr>
          <w:jc w:val="center"/>
        </w:trPr>
        <w:tc>
          <w:tcPr>
            <w:tcW w:w="15002" w:type="dxa"/>
            <w:gridSpan w:val="12"/>
            <w:shd w:val="clear" w:color="auto" w:fill="D9D9D9"/>
            <w:vAlign w:val="center"/>
          </w:tcPr>
          <w:p w:rsidR="003F0BFE" w:rsidRPr="00F0305E" w:rsidRDefault="00223C37" w:rsidP="00223C37">
            <w:pPr>
              <w:spacing w:before="60" w:after="60" w:line="240" w:lineRule="exact"/>
              <w:jc w:val="center"/>
              <w:rPr>
                <w:rFonts w:ascii="Tahoma" w:hAnsi="Tahoma" w:cs="Tahoma"/>
                <w:sz w:val="18"/>
                <w:szCs w:val="18"/>
              </w:rPr>
            </w:pPr>
            <w:r w:rsidRPr="00F0305E">
              <w:rPr>
                <w:rFonts w:ascii="Tahoma" w:hAnsi="Tahoma" w:cs="Tahoma"/>
                <w:b/>
                <w:bCs/>
                <w:sz w:val="18"/>
                <w:szCs w:val="18"/>
                <w:lang w:val="en-US"/>
              </w:rPr>
              <w:lastRenderedPageBreak/>
              <w:t>I</w:t>
            </w:r>
            <w:r w:rsidR="006E1FAF" w:rsidRPr="00F0305E">
              <w:rPr>
                <w:rFonts w:ascii="Tahoma" w:hAnsi="Tahoma" w:cs="Tahoma"/>
                <w:b/>
                <w:bCs/>
                <w:sz w:val="18"/>
                <w:szCs w:val="18"/>
                <w:lang w:val="en-US"/>
              </w:rPr>
              <w:t>I</w:t>
            </w:r>
            <w:r w:rsidR="0047640F" w:rsidRPr="00F0305E">
              <w:rPr>
                <w:rFonts w:ascii="Tahoma" w:hAnsi="Tahoma" w:cs="Tahoma"/>
                <w:b/>
                <w:bCs/>
                <w:sz w:val="18"/>
                <w:szCs w:val="18"/>
              </w:rPr>
              <w:t>)</w:t>
            </w:r>
            <w:r w:rsidR="003F0BFE" w:rsidRPr="00F0305E">
              <w:rPr>
                <w:rFonts w:ascii="Tahoma" w:hAnsi="Tahoma" w:cs="Tahoma"/>
                <w:b/>
                <w:bCs/>
                <w:sz w:val="18"/>
                <w:szCs w:val="18"/>
              </w:rPr>
              <w:t xml:space="preserve"> ΕΛΕΓΧΟΣ ΣΕ ΣΧΕΣΗ ΜΕ ΤΗΝ ΑΠΟΦΑΣΗ ΕΝΤΑΞΗΣ ΤΗΣ ΠΡΑΞΗΣ</w:t>
            </w:r>
          </w:p>
        </w:tc>
      </w:tr>
      <w:tr w:rsidR="003F0BFE" w:rsidRPr="00F0305E" w:rsidTr="00FF2E2C">
        <w:trPr>
          <w:trHeight w:val="1323"/>
          <w:jc w:val="center"/>
        </w:trPr>
        <w:tc>
          <w:tcPr>
            <w:tcW w:w="665" w:type="dxa"/>
            <w:vAlign w:val="center"/>
          </w:tcPr>
          <w:p w:rsidR="003F0BFE" w:rsidRPr="00F0305E" w:rsidRDefault="00223C37" w:rsidP="00223C37">
            <w:pPr>
              <w:spacing w:before="60" w:after="60" w:line="240" w:lineRule="exact"/>
              <w:jc w:val="center"/>
              <w:rPr>
                <w:rFonts w:ascii="Tahoma" w:hAnsi="Tahoma" w:cs="Tahoma"/>
                <w:sz w:val="18"/>
                <w:szCs w:val="18"/>
                <w:lang w:val="en-US"/>
              </w:rPr>
            </w:pPr>
            <w:r w:rsidRPr="00F0305E">
              <w:rPr>
                <w:rFonts w:ascii="Tahoma" w:hAnsi="Tahoma" w:cs="Tahoma"/>
                <w:sz w:val="18"/>
                <w:szCs w:val="18"/>
                <w:lang w:val="en-US"/>
              </w:rPr>
              <w:t>8</w:t>
            </w:r>
          </w:p>
        </w:tc>
        <w:tc>
          <w:tcPr>
            <w:tcW w:w="4221" w:type="dxa"/>
            <w:gridSpan w:val="2"/>
            <w:vAlign w:val="center"/>
          </w:tcPr>
          <w:p w:rsidR="003F0BFE" w:rsidRPr="00F0305E" w:rsidRDefault="003F0BFE" w:rsidP="0047640F">
            <w:pPr>
              <w:spacing w:before="60" w:after="60" w:line="240" w:lineRule="exact"/>
              <w:rPr>
                <w:rFonts w:ascii="Tahoma" w:hAnsi="Tahoma" w:cs="Tahoma"/>
                <w:sz w:val="18"/>
                <w:szCs w:val="18"/>
              </w:rPr>
            </w:pPr>
            <w:r w:rsidRPr="00F0305E">
              <w:rPr>
                <w:rFonts w:ascii="Tahoma" w:hAnsi="Tahoma" w:cs="Tahoma"/>
                <w:sz w:val="18"/>
                <w:szCs w:val="18"/>
              </w:rPr>
              <w:t xml:space="preserve">Το </w:t>
            </w:r>
            <w:r w:rsidR="0047640F" w:rsidRPr="00F0305E">
              <w:rPr>
                <w:rFonts w:ascii="Tahoma" w:hAnsi="Tahoma" w:cs="Tahoma"/>
                <w:sz w:val="18"/>
                <w:szCs w:val="18"/>
              </w:rPr>
              <w:t xml:space="preserve">προς </w:t>
            </w:r>
            <w:proofErr w:type="spellStart"/>
            <w:r w:rsidR="0047640F" w:rsidRPr="00F0305E">
              <w:rPr>
                <w:rFonts w:ascii="Tahoma" w:hAnsi="Tahoma" w:cs="Tahoma"/>
                <w:sz w:val="18"/>
                <w:szCs w:val="18"/>
              </w:rPr>
              <w:t>συμβασιοποίηση</w:t>
            </w:r>
            <w:proofErr w:type="spellEnd"/>
            <w:r w:rsidR="0047640F" w:rsidRPr="00F0305E">
              <w:rPr>
                <w:rFonts w:ascii="Tahoma" w:hAnsi="Tahoma" w:cs="Tahoma"/>
                <w:sz w:val="18"/>
                <w:szCs w:val="18"/>
              </w:rPr>
              <w:t xml:space="preserve"> </w:t>
            </w:r>
            <w:r w:rsidRPr="00F0305E">
              <w:rPr>
                <w:rFonts w:ascii="Tahoma" w:hAnsi="Tahoma" w:cs="Tahoma"/>
                <w:sz w:val="18"/>
                <w:szCs w:val="18"/>
              </w:rPr>
              <w:t xml:space="preserve">φυσικό αντικείμενο </w:t>
            </w:r>
            <w:r w:rsidR="0047640F" w:rsidRPr="00F0305E">
              <w:rPr>
                <w:rFonts w:ascii="Tahoma" w:hAnsi="Tahoma" w:cs="Tahoma"/>
                <w:sz w:val="18"/>
                <w:szCs w:val="18"/>
              </w:rPr>
              <w:t xml:space="preserve">είναι σύμφωνο με την </w:t>
            </w:r>
            <w:r w:rsidRPr="00F0305E">
              <w:rPr>
                <w:rFonts w:ascii="Tahoma" w:hAnsi="Tahoma" w:cs="Tahoma"/>
                <w:sz w:val="18"/>
                <w:szCs w:val="18"/>
              </w:rPr>
              <w:t>απόφαση ένταξης και σε περίπτωση που περιλαμβάνεται πρόσθετο φυσικό αντικείμενο αυτό είναι διακριτό;</w:t>
            </w:r>
          </w:p>
          <w:p w:rsidR="000A133D" w:rsidRPr="00F0305E" w:rsidRDefault="000A133D" w:rsidP="0047640F">
            <w:pPr>
              <w:spacing w:before="60" w:after="60" w:line="240" w:lineRule="exact"/>
              <w:rPr>
                <w:rFonts w:ascii="Tahoma" w:hAnsi="Tahoma" w:cs="Tahoma"/>
                <w:sz w:val="18"/>
                <w:szCs w:val="18"/>
              </w:rPr>
            </w:pPr>
          </w:p>
        </w:tc>
        <w:tc>
          <w:tcPr>
            <w:tcW w:w="638" w:type="dxa"/>
            <w:gridSpan w:val="2"/>
            <w:vAlign w:val="center"/>
          </w:tcPr>
          <w:p w:rsidR="003F0BFE" w:rsidRPr="00F0305E" w:rsidRDefault="003F0BFE" w:rsidP="00BA0561">
            <w:pPr>
              <w:spacing w:before="60" w:after="60" w:line="240" w:lineRule="exact"/>
              <w:rPr>
                <w:rFonts w:ascii="Tahoma" w:hAnsi="Tahoma" w:cs="Tahoma"/>
                <w:sz w:val="18"/>
                <w:szCs w:val="18"/>
              </w:rPr>
            </w:pPr>
          </w:p>
        </w:tc>
        <w:tc>
          <w:tcPr>
            <w:tcW w:w="567" w:type="dxa"/>
            <w:vAlign w:val="center"/>
          </w:tcPr>
          <w:p w:rsidR="003F0BFE" w:rsidRPr="00F0305E" w:rsidRDefault="003F0BFE" w:rsidP="00BA0561">
            <w:pPr>
              <w:spacing w:before="60" w:after="60" w:line="240" w:lineRule="exact"/>
              <w:rPr>
                <w:rFonts w:ascii="Tahoma" w:hAnsi="Tahoma" w:cs="Tahoma"/>
                <w:sz w:val="18"/>
                <w:szCs w:val="18"/>
              </w:rPr>
            </w:pPr>
          </w:p>
        </w:tc>
        <w:tc>
          <w:tcPr>
            <w:tcW w:w="850" w:type="dxa"/>
            <w:vAlign w:val="center"/>
          </w:tcPr>
          <w:p w:rsidR="003F0BFE" w:rsidRPr="00F0305E" w:rsidRDefault="003F0BFE" w:rsidP="00BA0561">
            <w:pPr>
              <w:spacing w:before="60" w:after="60" w:line="240" w:lineRule="exact"/>
              <w:rPr>
                <w:rFonts w:ascii="Tahoma" w:hAnsi="Tahoma" w:cs="Tahoma"/>
                <w:sz w:val="18"/>
                <w:szCs w:val="18"/>
              </w:rPr>
            </w:pPr>
          </w:p>
        </w:tc>
        <w:tc>
          <w:tcPr>
            <w:tcW w:w="4667" w:type="dxa"/>
            <w:gridSpan w:val="2"/>
            <w:vAlign w:val="center"/>
          </w:tcPr>
          <w:p w:rsidR="00417B8E" w:rsidRPr="00F0305E" w:rsidRDefault="00417B8E" w:rsidP="00BA0561">
            <w:pPr>
              <w:spacing w:before="60" w:after="60" w:line="240" w:lineRule="exact"/>
              <w:rPr>
                <w:rFonts w:ascii="Tahoma" w:hAnsi="Tahoma" w:cs="Tahoma"/>
                <w:sz w:val="18"/>
                <w:szCs w:val="18"/>
              </w:rPr>
            </w:pPr>
            <w:r w:rsidRPr="00F0305E">
              <w:rPr>
                <w:rFonts w:ascii="Tahoma" w:hAnsi="Tahoma" w:cs="Tahoma"/>
                <w:sz w:val="18"/>
                <w:szCs w:val="18"/>
              </w:rPr>
              <w:t>Έκθεση Τεκμηρίωσης</w:t>
            </w:r>
          </w:p>
          <w:p w:rsidR="00417B8E" w:rsidRPr="00F0305E" w:rsidRDefault="003F0BFE" w:rsidP="008669C2">
            <w:pPr>
              <w:spacing w:before="60" w:after="60" w:line="240" w:lineRule="exact"/>
              <w:rPr>
                <w:rFonts w:ascii="Tahoma" w:hAnsi="Tahoma" w:cs="Tahoma"/>
                <w:sz w:val="18"/>
                <w:szCs w:val="18"/>
              </w:rPr>
            </w:pPr>
            <w:r w:rsidRPr="00F0305E">
              <w:rPr>
                <w:rFonts w:ascii="Tahoma" w:hAnsi="Tahoma" w:cs="Tahoma"/>
                <w:sz w:val="18"/>
                <w:szCs w:val="18"/>
              </w:rPr>
              <w:t xml:space="preserve">Απόφαση ένταξης </w:t>
            </w:r>
          </w:p>
          <w:p w:rsidR="003F0BFE" w:rsidRPr="00F0305E" w:rsidRDefault="003F0BFE" w:rsidP="008669C2">
            <w:pPr>
              <w:spacing w:before="60" w:after="60" w:line="240" w:lineRule="exact"/>
              <w:rPr>
                <w:rFonts w:ascii="Tahoma" w:hAnsi="Tahoma" w:cs="Tahoma"/>
                <w:sz w:val="18"/>
                <w:szCs w:val="18"/>
              </w:rPr>
            </w:pPr>
            <w:r w:rsidRPr="00F0305E">
              <w:rPr>
                <w:rFonts w:ascii="Tahoma" w:hAnsi="Tahoma" w:cs="Tahoma"/>
                <w:sz w:val="18"/>
                <w:szCs w:val="18"/>
              </w:rPr>
              <w:t xml:space="preserve">ΤΔΠ Απόφαση ένταξης </w:t>
            </w:r>
          </w:p>
          <w:p w:rsidR="003F0BFE" w:rsidRPr="00F0305E" w:rsidRDefault="003F0BFE" w:rsidP="00BA0561">
            <w:pPr>
              <w:spacing w:before="60" w:after="60" w:line="240" w:lineRule="exact"/>
              <w:rPr>
                <w:rFonts w:ascii="Tahoma" w:hAnsi="Tahoma" w:cs="Tahoma"/>
                <w:sz w:val="18"/>
                <w:szCs w:val="18"/>
              </w:rPr>
            </w:pPr>
          </w:p>
        </w:tc>
        <w:tc>
          <w:tcPr>
            <w:tcW w:w="3394" w:type="dxa"/>
            <w:gridSpan w:val="3"/>
            <w:vAlign w:val="center"/>
          </w:tcPr>
          <w:p w:rsidR="003F0BFE" w:rsidRPr="00F0305E" w:rsidRDefault="003F0BFE" w:rsidP="00BA0561">
            <w:pPr>
              <w:spacing w:before="60" w:after="60" w:line="240" w:lineRule="exact"/>
              <w:rPr>
                <w:rFonts w:ascii="Tahoma" w:hAnsi="Tahoma" w:cs="Tahoma"/>
                <w:sz w:val="18"/>
                <w:szCs w:val="18"/>
              </w:rPr>
            </w:pPr>
          </w:p>
        </w:tc>
      </w:tr>
      <w:tr w:rsidR="003F0BFE" w:rsidRPr="00F0305E" w:rsidTr="00FF2E2C">
        <w:trPr>
          <w:trHeight w:val="1121"/>
          <w:jc w:val="center"/>
        </w:trPr>
        <w:tc>
          <w:tcPr>
            <w:tcW w:w="665" w:type="dxa"/>
            <w:vAlign w:val="center"/>
          </w:tcPr>
          <w:p w:rsidR="003F0BFE" w:rsidRPr="00F0305E" w:rsidRDefault="00223C37" w:rsidP="00223C37">
            <w:pPr>
              <w:spacing w:before="60" w:after="60" w:line="240" w:lineRule="exact"/>
              <w:jc w:val="center"/>
              <w:rPr>
                <w:rFonts w:ascii="Tahoma" w:hAnsi="Tahoma" w:cs="Tahoma"/>
                <w:sz w:val="18"/>
                <w:szCs w:val="18"/>
                <w:lang w:val="en-US"/>
              </w:rPr>
            </w:pPr>
            <w:r w:rsidRPr="00F0305E">
              <w:rPr>
                <w:rFonts w:ascii="Tahoma" w:hAnsi="Tahoma" w:cs="Tahoma"/>
                <w:sz w:val="18"/>
                <w:szCs w:val="18"/>
                <w:lang w:val="en-US"/>
              </w:rPr>
              <w:t>9</w:t>
            </w:r>
          </w:p>
        </w:tc>
        <w:tc>
          <w:tcPr>
            <w:tcW w:w="4221" w:type="dxa"/>
            <w:gridSpan w:val="2"/>
            <w:vAlign w:val="center"/>
          </w:tcPr>
          <w:p w:rsidR="003F0BFE" w:rsidRPr="00F0305E" w:rsidRDefault="003F0BFE" w:rsidP="0047640F">
            <w:pPr>
              <w:spacing w:before="60" w:after="60" w:line="240" w:lineRule="exact"/>
              <w:rPr>
                <w:rFonts w:ascii="Tahoma" w:hAnsi="Tahoma" w:cs="Tahoma"/>
                <w:bCs/>
                <w:sz w:val="18"/>
                <w:szCs w:val="18"/>
              </w:rPr>
            </w:pPr>
            <w:r w:rsidRPr="00F0305E">
              <w:rPr>
                <w:rFonts w:ascii="Tahoma" w:hAnsi="Tahoma" w:cs="Tahoma"/>
                <w:bCs/>
                <w:sz w:val="18"/>
                <w:szCs w:val="18"/>
              </w:rPr>
              <w:t>Ο προβλεπόμενος χρόνος υλοποίησης του έργου, είναι εύλογος και συμφωνεί με την προβλεπόμενη διάρκεια του έργου στην απόφαση ένταξης της πράξης;</w:t>
            </w:r>
          </w:p>
          <w:p w:rsidR="000A133D" w:rsidRPr="00F0305E" w:rsidRDefault="000A133D" w:rsidP="0047640F">
            <w:pPr>
              <w:spacing w:before="60" w:after="60" w:line="240" w:lineRule="exact"/>
              <w:rPr>
                <w:rFonts w:ascii="Tahoma" w:hAnsi="Tahoma" w:cs="Tahoma"/>
                <w:bCs/>
                <w:sz w:val="18"/>
                <w:szCs w:val="18"/>
              </w:rPr>
            </w:pPr>
          </w:p>
        </w:tc>
        <w:tc>
          <w:tcPr>
            <w:tcW w:w="638" w:type="dxa"/>
            <w:gridSpan w:val="2"/>
            <w:vAlign w:val="center"/>
          </w:tcPr>
          <w:p w:rsidR="003F0BFE" w:rsidRPr="00F0305E" w:rsidRDefault="003F0BFE" w:rsidP="00BA0561">
            <w:pPr>
              <w:spacing w:before="60" w:after="60" w:line="240" w:lineRule="exact"/>
              <w:rPr>
                <w:rFonts w:ascii="Tahoma" w:hAnsi="Tahoma" w:cs="Tahoma"/>
                <w:sz w:val="18"/>
                <w:szCs w:val="18"/>
              </w:rPr>
            </w:pPr>
          </w:p>
        </w:tc>
        <w:tc>
          <w:tcPr>
            <w:tcW w:w="567" w:type="dxa"/>
            <w:vAlign w:val="center"/>
          </w:tcPr>
          <w:p w:rsidR="003F0BFE" w:rsidRPr="00F0305E" w:rsidRDefault="003F0BFE" w:rsidP="00BA0561">
            <w:pPr>
              <w:spacing w:before="60" w:after="60" w:line="240" w:lineRule="exact"/>
              <w:rPr>
                <w:rFonts w:ascii="Tahoma" w:hAnsi="Tahoma" w:cs="Tahoma"/>
                <w:sz w:val="18"/>
                <w:szCs w:val="18"/>
              </w:rPr>
            </w:pPr>
          </w:p>
        </w:tc>
        <w:tc>
          <w:tcPr>
            <w:tcW w:w="850" w:type="dxa"/>
            <w:vAlign w:val="center"/>
          </w:tcPr>
          <w:p w:rsidR="003F0BFE" w:rsidRPr="00F0305E" w:rsidRDefault="003F0BFE" w:rsidP="00BA0561">
            <w:pPr>
              <w:spacing w:before="60" w:after="60" w:line="240" w:lineRule="exact"/>
              <w:rPr>
                <w:rFonts w:ascii="Tahoma" w:hAnsi="Tahoma" w:cs="Tahoma"/>
                <w:sz w:val="18"/>
                <w:szCs w:val="18"/>
              </w:rPr>
            </w:pPr>
          </w:p>
        </w:tc>
        <w:tc>
          <w:tcPr>
            <w:tcW w:w="4667" w:type="dxa"/>
            <w:gridSpan w:val="2"/>
            <w:vAlign w:val="center"/>
          </w:tcPr>
          <w:p w:rsidR="00417B8E" w:rsidRPr="00F0305E" w:rsidRDefault="00417B8E" w:rsidP="00BA0561">
            <w:pPr>
              <w:spacing w:before="60" w:after="60" w:line="240" w:lineRule="exact"/>
              <w:rPr>
                <w:rFonts w:ascii="Tahoma" w:hAnsi="Tahoma" w:cs="Tahoma"/>
                <w:sz w:val="18"/>
                <w:szCs w:val="18"/>
              </w:rPr>
            </w:pPr>
            <w:r w:rsidRPr="00F0305E">
              <w:rPr>
                <w:rFonts w:ascii="Tahoma" w:hAnsi="Tahoma" w:cs="Tahoma"/>
                <w:sz w:val="18"/>
                <w:szCs w:val="18"/>
              </w:rPr>
              <w:t xml:space="preserve">Έκθεση Τεκμηρίωσης </w:t>
            </w:r>
          </w:p>
          <w:p w:rsidR="003F0BFE" w:rsidRPr="00F0305E" w:rsidRDefault="003F0BFE" w:rsidP="00BA0561">
            <w:pPr>
              <w:spacing w:before="60" w:after="60" w:line="240" w:lineRule="exact"/>
              <w:rPr>
                <w:rFonts w:ascii="Tahoma" w:hAnsi="Tahoma" w:cs="Tahoma"/>
                <w:sz w:val="18"/>
                <w:szCs w:val="18"/>
              </w:rPr>
            </w:pPr>
            <w:r w:rsidRPr="00F0305E">
              <w:rPr>
                <w:rFonts w:ascii="Tahoma" w:hAnsi="Tahoma" w:cs="Tahoma"/>
                <w:sz w:val="18"/>
                <w:szCs w:val="18"/>
              </w:rPr>
              <w:t>Απόφαση ένταξης.</w:t>
            </w:r>
          </w:p>
          <w:p w:rsidR="003F0BFE" w:rsidRPr="00F0305E" w:rsidRDefault="003F0BFE" w:rsidP="008669C2">
            <w:pPr>
              <w:spacing w:before="60" w:after="60" w:line="240" w:lineRule="exact"/>
              <w:rPr>
                <w:rFonts w:ascii="Tahoma" w:hAnsi="Tahoma" w:cs="Tahoma"/>
                <w:sz w:val="18"/>
                <w:szCs w:val="18"/>
              </w:rPr>
            </w:pPr>
            <w:r w:rsidRPr="00F0305E">
              <w:rPr>
                <w:rFonts w:ascii="Tahoma" w:hAnsi="Tahoma" w:cs="Tahoma"/>
                <w:sz w:val="18"/>
                <w:szCs w:val="18"/>
              </w:rPr>
              <w:t xml:space="preserve">ΤΔΠ Απόφαση ένταξης </w:t>
            </w:r>
          </w:p>
          <w:p w:rsidR="003F0BFE" w:rsidRPr="00F0305E" w:rsidRDefault="003F0BFE" w:rsidP="00BA0561">
            <w:pPr>
              <w:spacing w:before="60" w:after="60" w:line="240" w:lineRule="exact"/>
              <w:rPr>
                <w:rFonts w:ascii="Tahoma" w:hAnsi="Tahoma" w:cs="Tahoma"/>
                <w:sz w:val="18"/>
                <w:szCs w:val="18"/>
              </w:rPr>
            </w:pPr>
          </w:p>
        </w:tc>
        <w:tc>
          <w:tcPr>
            <w:tcW w:w="3394" w:type="dxa"/>
            <w:gridSpan w:val="3"/>
            <w:vAlign w:val="center"/>
          </w:tcPr>
          <w:p w:rsidR="003F0BFE" w:rsidRPr="00F0305E" w:rsidRDefault="003F0BFE" w:rsidP="00BA0561">
            <w:pPr>
              <w:spacing w:before="60" w:after="60" w:line="240" w:lineRule="exact"/>
              <w:rPr>
                <w:rFonts w:ascii="Tahoma" w:hAnsi="Tahoma" w:cs="Tahoma"/>
                <w:sz w:val="18"/>
                <w:szCs w:val="18"/>
              </w:rPr>
            </w:pPr>
          </w:p>
        </w:tc>
      </w:tr>
      <w:tr w:rsidR="00324001" w:rsidRPr="00F0305E" w:rsidTr="00FF2E2C">
        <w:trPr>
          <w:jc w:val="center"/>
        </w:trPr>
        <w:tc>
          <w:tcPr>
            <w:tcW w:w="704" w:type="dxa"/>
            <w:gridSpan w:val="2"/>
            <w:shd w:val="clear" w:color="auto" w:fill="FFFFFF" w:themeFill="background1"/>
            <w:vAlign w:val="center"/>
          </w:tcPr>
          <w:p w:rsidR="00324001" w:rsidRPr="00F0305E" w:rsidRDefault="00324001" w:rsidP="00844303">
            <w:pPr>
              <w:spacing w:before="60" w:after="60" w:line="240" w:lineRule="exact"/>
              <w:rPr>
                <w:rFonts w:ascii="Tahoma" w:hAnsi="Tahoma" w:cs="Tahoma"/>
                <w:bCs/>
                <w:sz w:val="18"/>
                <w:szCs w:val="18"/>
              </w:rPr>
            </w:pPr>
            <w:r w:rsidRPr="00F0305E">
              <w:rPr>
                <w:rFonts w:ascii="Tahoma" w:hAnsi="Tahoma" w:cs="Tahoma"/>
                <w:bCs/>
                <w:sz w:val="18"/>
                <w:szCs w:val="18"/>
              </w:rPr>
              <w:t>10</w:t>
            </w:r>
          </w:p>
        </w:tc>
        <w:tc>
          <w:tcPr>
            <w:tcW w:w="4253" w:type="dxa"/>
            <w:gridSpan w:val="2"/>
            <w:shd w:val="clear" w:color="auto" w:fill="FFFFFF" w:themeFill="background1"/>
            <w:vAlign w:val="center"/>
          </w:tcPr>
          <w:p w:rsidR="00324001" w:rsidRPr="00F0305E" w:rsidRDefault="00324001" w:rsidP="00844303">
            <w:pPr>
              <w:spacing w:before="60" w:after="60" w:line="240" w:lineRule="exact"/>
              <w:rPr>
                <w:rFonts w:ascii="Tahoma" w:hAnsi="Tahoma" w:cs="Tahoma"/>
                <w:bCs/>
                <w:sz w:val="18"/>
                <w:szCs w:val="18"/>
              </w:rPr>
            </w:pPr>
            <w:r w:rsidRPr="00F0305E">
              <w:rPr>
                <w:rFonts w:ascii="Tahoma" w:hAnsi="Tahoma" w:cs="Tahoma"/>
                <w:bCs/>
                <w:sz w:val="18"/>
                <w:szCs w:val="18"/>
              </w:rPr>
              <w:t xml:space="preserve">Αίτηση επίσπευσης στην περίπτωση εφαρμογής του σημείου 3 </w:t>
            </w:r>
          </w:p>
          <w:p w:rsidR="000A133D" w:rsidRPr="00F0305E" w:rsidRDefault="000A133D" w:rsidP="00844303">
            <w:pPr>
              <w:spacing w:before="60" w:after="60" w:line="240" w:lineRule="exact"/>
              <w:rPr>
                <w:rFonts w:ascii="Tahoma" w:hAnsi="Tahoma" w:cs="Tahoma"/>
                <w:bCs/>
                <w:sz w:val="18"/>
                <w:szCs w:val="18"/>
              </w:rPr>
            </w:pPr>
          </w:p>
        </w:tc>
        <w:tc>
          <w:tcPr>
            <w:tcW w:w="567" w:type="dxa"/>
            <w:shd w:val="clear" w:color="auto" w:fill="FFFFFF" w:themeFill="background1"/>
            <w:vAlign w:val="center"/>
          </w:tcPr>
          <w:p w:rsidR="00324001" w:rsidRPr="00F0305E" w:rsidRDefault="00324001" w:rsidP="005D1F90">
            <w:pPr>
              <w:spacing w:before="60" w:after="60" w:line="240" w:lineRule="exact"/>
              <w:jc w:val="center"/>
              <w:rPr>
                <w:rFonts w:ascii="Tahoma" w:hAnsi="Tahoma" w:cs="Tahoma"/>
                <w:bCs/>
                <w:sz w:val="18"/>
                <w:szCs w:val="18"/>
              </w:rPr>
            </w:pPr>
          </w:p>
        </w:tc>
        <w:tc>
          <w:tcPr>
            <w:tcW w:w="567" w:type="dxa"/>
            <w:shd w:val="clear" w:color="auto" w:fill="FFFFFF" w:themeFill="background1"/>
            <w:vAlign w:val="center"/>
          </w:tcPr>
          <w:p w:rsidR="00324001" w:rsidRPr="00F0305E" w:rsidRDefault="00324001" w:rsidP="005D1F90">
            <w:pPr>
              <w:spacing w:before="60" w:after="60" w:line="240" w:lineRule="exact"/>
              <w:jc w:val="center"/>
              <w:rPr>
                <w:rFonts w:ascii="Tahoma" w:hAnsi="Tahoma" w:cs="Tahoma"/>
                <w:bCs/>
                <w:sz w:val="18"/>
                <w:szCs w:val="18"/>
              </w:rPr>
            </w:pPr>
          </w:p>
        </w:tc>
        <w:tc>
          <w:tcPr>
            <w:tcW w:w="850" w:type="dxa"/>
            <w:shd w:val="clear" w:color="auto" w:fill="FFFFFF" w:themeFill="background1"/>
            <w:vAlign w:val="center"/>
          </w:tcPr>
          <w:p w:rsidR="00324001" w:rsidRPr="00F0305E" w:rsidRDefault="00324001" w:rsidP="005D1F90">
            <w:pPr>
              <w:spacing w:before="60" w:after="60" w:line="240" w:lineRule="exact"/>
              <w:jc w:val="center"/>
              <w:rPr>
                <w:rFonts w:ascii="Tahoma" w:hAnsi="Tahoma" w:cs="Tahoma"/>
                <w:bCs/>
                <w:sz w:val="18"/>
                <w:szCs w:val="18"/>
              </w:rPr>
            </w:pPr>
          </w:p>
        </w:tc>
        <w:tc>
          <w:tcPr>
            <w:tcW w:w="4678" w:type="dxa"/>
            <w:gridSpan w:val="3"/>
            <w:shd w:val="clear" w:color="auto" w:fill="FFFFFF" w:themeFill="background1"/>
            <w:vAlign w:val="center"/>
          </w:tcPr>
          <w:p w:rsidR="00324001" w:rsidRPr="00F0305E" w:rsidRDefault="00324001" w:rsidP="00324001">
            <w:pPr>
              <w:spacing w:after="120" w:line="280" w:lineRule="exact"/>
              <w:rPr>
                <w:rFonts w:ascii="Tahoma" w:hAnsi="Tahoma" w:cs="Tahoma"/>
                <w:sz w:val="20"/>
                <w:szCs w:val="20"/>
              </w:rPr>
            </w:pPr>
            <w:r w:rsidRPr="00F0305E">
              <w:rPr>
                <w:rFonts w:ascii="Tahoma" w:hAnsi="Tahoma" w:cs="Tahoma"/>
                <w:color w:val="000000"/>
                <w:sz w:val="18"/>
                <w:szCs w:val="18"/>
              </w:rPr>
              <w:t>Σε περίπτωση εφαρμογής του σημε</w:t>
            </w:r>
            <w:r w:rsidR="009802D4" w:rsidRPr="00F0305E">
              <w:rPr>
                <w:rFonts w:ascii="Tahoma" w:hAnsi="Tahoma" w:cs="Tahoma"/>
                <w:color w:val="000000"/>
                <w:sz w:val="18"/>
                <w:szCs w:val="18"/>
              </w:rPr>
              <w:t>ίου 3</w:t>
            </w:r>
            <w:r w:rsidRPr="00F0305E">
              <w:rPr>
                <w:rFonts w:ascii="Tahoma" w:hAnsi="Tahoma" w:cs="Tahoma"/>
                <w:color w:val="000000"/>
                <w:sz w:val="18"/>
                <w:szCs w:val="18"/>
              </w:rPr>
              <w:t xml:space="preserve"> η ΔΑ/ΕΦ εξετάζει κατά προτεραιότητα το σχετικό αίτημα. </w:t>
            </w:r>
          </w:p>
        </w:tc>
        <w:tc>
          <w:tcPr>
            <w:tcW w:w="3383" w:type="dxa"/>
            <w:gridSpan w:val="2"/>
            <w:shd w:val="clear" w:color="auto" w:fill="FFFFFF" w:themeFill="background1"/>
            <w:vAlign w:val="center"/>
          </w:tcPr>
          <w:p w:rsidR="00324001" w:rsidRPr="00F0305E" w:rsidRDefault="00324001" w:rsidP="005D1F90">
            <w:pPr>
              <w:spacing w:before="60" w:after="60" w:line="240" w:lineRule="exact"/>
              <w:jc w:val="center"/>
              <w:rPr>
                <w:rFonts w:ascii="Tahoma" w:hAnsi="Tahoma" w:cs="Tahoma"/>
                <w:bCs/>
                <w:sz w:val="18"/>
                <w:szCs w:val="18"/>
              </w:rPr>
            </w:pPr>
          </w:p>
        </w:tc>
      </w:tr>
      <w:tr w:rsidR="0047640F" w:rsidRPr="00F0305E" w:rsidTr="00FF2E2C">
        <w:trPr>
          <w:jc w:val="center"/>
        </w:trPr>
        <w:tc>
          <w:tcPr>
            <w:tcW w:w="15002" w:type="dxa"/>
            <w:gridSpan w:val="12"/>
            <w:shd w:val="clear" w:color="auto" w:fill="D9D9D9"/>
            <w:vAlign w:val="center"/>
          </w:tcPr>
          <w:p w:rsidR="0047640F" w:rsidRPr="00F0305E" w:rsidRDefault="0047640F" w:rsidP="005D1F90">
            <w:pPr>
              <w:spacing w:before="60" w:after="60" w:line="240" w:lineRule="exact"/>
              <w:jc w:val="center"/>
              <w:rPr>
                <w:rFonts w:ascii="Tahoma" w:hAnsi="Tahoma" w:cs="Tahoma"/>
                <w:sz w:val="18"/>
                <w:szCs w:val="18"/>
              </w:rPr>
            </w:pPr>
            <w:r w:rsidRPr="00F0305E">
              <w:rPr>
                <w:rFonts w:ascii="Tahoma" w:hAnsi="Tahoma" w:cs="Tahoma"/>
                <w:b/>
                <w:bCs/>
                <w:sz w:val="18"/>
                <w:szCs w:val="18"/>
              </w:rPr>
              <w:t>Ι</w:t>
            </w:r>
            <w:r w:rsidRPr="00F0305E">
              <w:rPr>
                <w:rFonts w:ascii="Tahoma" w:hAnsi="Tahoma" w:cs="Tahoma"/>
                <w:b/>
                <w:bCs/>
                <w:sz w:val="18"/>
                <w:szCs w:val="18"/>
                <w:lang w:val="en-US"/>
              </w:rPr>
              <w:t>II</w:t>
            </w:r>
            <w:r w:rsidRPr="00F0305E">
              <w:rPr>
                <w:rFonts w:ascii="Tahoma" w:hAnsi="Tahoma" w:cs="Tahoma"/>
                <w:b/>
                <w:bCs/>
                <w:sz w:val="18"/>
                <w:szCs w:val="18"/>
              </w:rPr>
              <w:t>) ΛΟΙΠΑ ΣΧΟΛΙΑ-ΠΑΡΑΤΗΡΗΣΕΙΣ (συμπληρώνεται από τη ΔΑ/ΕΦ)</w:t>
            </w:r>
          </w:p>
        </w:tc>
      </w:tr>
      <w:tr w:rsidR="0047640F" w:rsidRPr="00F0305E" w:rsidTr="00FF2E2C">
        <w:trPr>
          <w:gridAfter w:val="1"/>
          <w:wAfter w:w="675" w:type="dxa"/>
          <w:trHeight w:val="1323"/>
          <w:jc w:val="center"/>
        </w:trPr>
        <w:tc>
          <w:tcPr>
            <w:tcW w:w="14327" w:type="dxa"/>
            <w:gridSpan w:val="11"/>
            <w:vAlign w:val="center"/>
          </w:tcPr>
          <w:p w:rsidR="0047640F" w:rsidRPr="00F0305E" w:rsidRDefault="0047640F" w:rsidP="005D1F90">
            <w:pPr>
              <w:spacing w:before="60" w:after="60" w:line="240" w:lineRule="exact"/>
              <w:rPr>
                <w:rFonts w:ascii="Tahoma" w:hAnsi="Tahoma" w:cs="Tahoma"/>
                <w:sz w:val="18"/>
                <w:szCs w:val="18"/>
              </w:rPr>
            </w:pPr>
          </w:p>
        </w:tc>
      </w:tr>
      <w:tr w:rsidR="00FA4804" w:rsidRPr="00F0305E" w:rsidTr="00FF2E2C">
        <w:tblPrEx>
          <w:jc w:val="left"/>
        </w:tblPrEx>
        <w:tc>
          <w:tcPr>
            <w:tcW w:w="15002" w:type="dxa"/>
            <w:gridSpan w:val="12"/>
            <w:tcBorders>
              <w:top w:val="single" w:sz="4" w:space="0" w:color="auto"/>
              <w:left w:val="single" w:sz="4" w:space="0" w:color="auto"/>
              <w:bottom w:val="single" w:sz="4" w:space="0" w:color="auto"/>
              <w:right w:val="single" w:sz="4" w:space="0" w:color="auto"/>
            </w:tcBorders>
          </w:tcPr>
          <w:p w:rsidR="00FA4804" w:rsidRPr="00F0305E" w:rsidRDefault="00FA4804">
            <w:pPr>
              <w:spacing w:before="60" w:after="60" w:line="240" w:lineRule="exact"/>
              <w:rPr>
                <w:rFonts w:ascii="Tahoma" w:hAnsi="Tahoma" w:cs="Tahoma"/>
                <w:sz w:val="18"/>
                <w:szCs w:val="18"/>
              </w:rPr>
            </w:pPr>
            <w:r w:rsidRPr="00F0305E">
              <w:rPr>
                <w:rFonts w:ascii="Tahoma" w:hAnsi="Tahoma" w:cs="Tahoma"/>
                <w:sz w:val="18"/>
                <w:szCs w:val="18"/>
              </w:rPr>
              <w:t>ΕΙΣΗΓΗΣΗ</w:t>
            </w:r>
          </w:p>
          <w:p w:rsidR="00FA4804" w:rsidRPr="00F0305E" w:rsidRDefault="00FA4804">
            <w:pPr>
              <w:spacing w:before="60" w:after="60" w:line="240" w:lineRule="exact"/>
              <w:rPr>
                <w:rFonts w:ascii="Tahoma" w:hAnsi="Tahoma" w:cs="Tahoma"/>
                <w:i/>
                <w:sz w:val="18"/>
                <w:szCs w:val="18"/>
              </w:rPr>
            </w:pPr>
            <w:r w:rsidRPr="00F0305E">
              <w:rPr>
                <w:rFonts w:ascii="Tahoma" w:hAnsi="Tahoma" w:cs="Tahoma"/>
                <w:i/>
                <w:sz w:val="18"/>
                <w:szCs w:val="18"/>
              </w:rPr>
              <w:t>(για τις περιπτώσεις που ο έλεγχος διενεργείται πριν τη</w:t>
            </w:r>
            <w:r w:rsidR="0047640F" w:rsidRPr="00F0305E">
              <w:rPr>
                <w:rFonts w:ascii="Tahoma" w:hAnsi="Tahoma" w:cs="Tahoma"/>
                <w:i/>
                <w:sz w:val="18"/>
                <w:szCs w:val="18"/>
              </w:rPr>
              <w:t>ν έναρξη των διαδικασιών</w:t>
            </w:r>
            <w:r w:rsidRPr="00F0305E">
              <w:rPr>
                <w:rFonts w:ascii="Tahoma" w:hAnsi="Tahoma" w:cs="Tahoma"/>
                <w:i/>
                <w:sz w:val="18"/>
                <w:szCs w:val="18"/>
              </w:rPr>
              <w:t>)</w:t>
            </w:r>
            <w:r w:rsidR="00D159F0">
              <w:rPr>
                <w:rFonts w:ascii="Tahoma" w:hAnsi="Tahoma" w:cs="Tahoma"/>
                <w:i/>
                <w:sz w:val="18"/>
                <w:szCs w:val="18"/>
              </w:rPr>
              <w:t>.</w:t>
            </w:r>
          </w:p>
          <w:p w:rsidR="00FA4804" w:rsidRPr="00F0305E" w:rsidRDefault="00FA4804">
            <w:pPr>
              <w:spacing w:before="60" w:after="60" w:line="240" w:lineRule="exact"/>
              <w:rPr>
                <w:rFonts w:ascii="Tahoma" w:hAnsi="Tahoma" w:cs="Tahoma"/>
                <w:sz w:val="18"/>
                <w:szCs w:val="18"/>
              </w:rPr>
            </w:pPr>
          </w:p>
          <w:p w:rsidR="00FA4804" w:rsidRPr="00F0305E" w:rsidRDefault="00FA4804" w:rsidP="00FA4804">
            <w:pPr>
              <w:spacing w:before="60" w:after="60" w:line="240" w:lineRule="exact"/>
              <w:rPr>
                <w:rFonts w:ascii="Tahoma" w:hAnsi="Tahoma" w:cs="Tahoma"/>
                <w:sz w:val="18"/>
                <w:szCs w:val="18"/>
              </w:rPr>
            </w:pPr>
          </w:p>
        </w:tc>
      </w:tr>
      <w:tr w:rsidR="00FA4804" w:rsidRPr="00F0305E" w:rsidTr="00FF2E2C">
        <w:tblPrEx>
          <w:jc w:val="left"/>
        </w:tblPrEx>
        <w:tc>
          <w:tcPr>
            <w:tcW w:w="15002" w:type="dxa"/>
            <w:gridSpan w:val="12"/>
            <w:tcBorders>
              <w:top w:val="single" w:sz="4" w:space="0" w:color="auto"/>
              <w:left w:val="single" w:sz="4" w:space="0" w:color="auto"/>
              <w:bottom w:val="single" w:sz="4" w:space="0" w:color="auto"/>
              <w:right w:val="single" w:sz="4" w:space="0" w:color="auto"/>
            </w:tcBorders>
          </w:tcPr>
          <w:p w:rsidR="00FA4804" w:rsidRPr="00F0305E" w:rsidRDefault="00FA4804">
            <w:pPr>
              <w:rPr>
                <w:rFonts w:ascii="Tahoma" w:hAnsi="Tahoma" w:cs="Tahoma"/>
                <w:sz w:val="18"/>
                <w:szCs w:val="18"/>
              </w:rPr>
            </w:pPr>
            <w:r w:rsidRPr="00F0305E">
              <w:rPr>
                <w:rFonts w:ascii="Tahoma" w:hAnsi="Tahoma" w:cs="Tahoma"/>
                <w:sz w:val="18"/>
                <w:szCs w:val="18"/>
              </w:rPr>
              <w:t>ΣΥΝΟΨΗ ΑΠΟΤΕΛΕΣΜΑΤΩΝ ΕΛΕΓΧΟΥ – ΚΥΡΙΑ ΕΥΡΗΜΑΤΑ – ΠΡΟΤΑΣΗ ΑΠΟΜΕΙΩΣΗΣ ΕΠΙΛΕΞΙΜΗΣ ΔΗΜΟΣΙΑΣ ΔΑΠΑΝΗΣ ΑΠΟ ΤΗΝ ΑΠΟΦΑΣΗ ΕΝΤΑΞΗΣ</w:t>
            </w:r>
          </w:p>
          <w:p w:rsidR="00FA4804" w:rsidRPr="00F0305E" w:rsidRDefault="00FA4804">
            <w:pPr>
              <w:spacing w:before="60" w:after="60" w:line="240" w:lineRule="exact"/>
              <w:rPr>
                <w:rFonts w:ascii="Tahoma" w:hAnsi="Tahoma" w:cs="Tahoma"/>
                <w:i/>
                <w:sz w:val="18"/>
                <w:szCs w:val="18"/>
              </w:rPr>
            </w:pPr>
            <w:r w:rsidRPr="00F0305E">
              <w:rPr>
                <w:rFonts w:ascii="Tahoma" w:hAnsi="Tahoma" w:cs="Tahoma"/>
                <w:i/>
                <w:sz w:val="18"/>
                <w:szCs w:val="18"/>
              </w:rPr>
              <w:t>(για τις περιπτώσεις που ο έλεγχος διενεργείται κατά την αξιολόγηση της πράξης)</w:t>
            </w:r>
            <w:r w:rsidR="00D159F0">
              <w:rPr>
                <w:rFonts w:ascii="Tahoma" w:hAnsi="Tahoma" w:cs="Tahoma"/>
                <w:i/>
                <w:sz w:val="18"/>
                <w:szCs w:val="18"/>
              </w:rPr>
              <w:t>.</w:t>
            </w:r>
          </w:p>
          <w:p w:rsidR="00FA4804" w:rsidRPr="00F0305E" w:rsidRDefault="00FA4804">
            <w:pPr>
              <w:spacing w:before="60" w:after="60" w:line="240" w:lineRule="exact"/>
              <w:rPr>
                <w:rFonts w:ascii="Tahoma" w:hAnsi="Tahoma" w:cs="Tahoma"/>
                <w:sz w:val="18"/>
                <w:szCs w:val="18"/>
              </w:rPr>
            </w:pPr>
          </w:p>
          <w:p w:rsidR="00FA4804" w:rsidRPr="00F0305E" w:rsidRDefault="00FA4804">
            <w:pPr>
              <w:spacing w:before="60" w:after="60" w:line="240" w:lineRule="exact"/>
              <w:rPr>
                <w:rFonts w:ascii="Tahoma" w:hAnsi="Tahoma" w:cs="Tahoma"/>
                <w:sz w:val="18"/>
                <w:szCs w:val="18"/>
              </w:rPr>
            </w:pPr>
          </w:p>
          <w:p w:rsidR="00FA4804" w:rsidRPr="00F0305E" w:rsidRDefault="00FA4804">
            <w:pPr>
              <w:spacing w:before="60" w:after="60" w:line="240" w:lineRule="exact"/>
              <w:rPr>
                <w:rFonts w:ascii="Tahoma" w:hAnsi="Tahoma" w:cs="Tahoma"/>
                <w:sz w:val="18"/>
                <w:szCs w:val="18"/>
              </w:rPr>
            </w:pPr>
          </w:p>
        </w:tc>
      </w:tr>
      <w:tr w:rsidR="00FA4804" w:rsidRPr="00F0305E" w:rsidTr="00FF2E2C">
        <w:tblPrEx>
          <w:jc w:val="left"/>
        </w:tblPrEx>
        <w:trPr>
          <w:trHeight w:val="903"/>
        </w:trPr>
        <w:tc>
          <w:tcPr>
            <w:tcW w:w="6963" w:type="dxa"/>
            <w:gridSpan w:val="8"/>
            <w:vMerge w:val="restart"/>
            <w:tcBorders>
              <w:top w:val="single" w:sz="4" w:space="0" w:color="auto"/>
              <w:left w:val="single" w:sz="4" w:space="0" w:color="auto"/>
              <w:bottom w:val="single" w:sz="4" w:space="0" w:color="auto"/>
              <w:right w:val="single" w:sz="4" w:space="0" w:color="auto"/>
            </w:tcBorders>
            <w:vAlign w:val="center"/>
            <w:hideMark/>
          </w:tcPr>
          <w:p w:rsidR="00FA4804" w:rsidRPr="00F0305E" w:rsidRDefault="00FA4804">
            <w:pPr>
              <w:spacing w:before="60" w:after="60" w:line="240" w:lineRule="exact"/>
              <w:rPr>
                <w:rFonts w:ascii="Tahoma" w:hAnsi="Tahoma" w:cs="Tahoma"/>
                <w:sz w:val="18"/>
                <w:szCs w:val="18"/>
              </w:rPr>
            </w:pPr>
            <w:bookmarkStart w:id="0" w:name="_GoBack" w:colFirst="0" w:colLast="0"/>
            <w:r w:rsidRPr="00F0305E">
              <w:rPr>
                <w:rFonts w:ascii="Tahoma" w:hAnsi="Tahoma" w:cs="Tahoma"/>
                <w:sz w:val="18"/>
                <w:szCs w:val="18"/>
              </w:rPr>
              <w:lastRenderedPageBreak/>
              <w:t>Ημερομηνία ………………….</w:t>
            </w:r>
          </w:p>
        </w:tc>
        <w:tc>
          <w:tcPr>
            <w:tcW w:w="8044" w:type="dxa"/>
            <w:gridSpan w:val="4"/>
            <w:tcBorders>
              <w:top w:val="single" w:sz="4" w:space="0" w:color="auto"/>
              <w:left w:val="single" w:sz="4" w:space="0" w:color="auto"/>
              <w:bottom w:val="single" w:sz="4" w:space="0" w:color="auto"/>
              <w:right w:val="single" w:sz="4" w:space="0" w:color="auto"/>
            </w:tcBorders>
            <w:vAlign w:val="center"/>
            <w:hideMark/>
          </w:tcPr>
          <w:p w:rsidR="00FA4804" w:rsidRPr="00F0305E" w:rsidRDefault="00FA4804">
            <w:pPr>
              <w:spacing w:before="60" w:after="60" w:line="240" w:lineRule="exact"/>
              <w:rPr>
                <w:rFonts w:ascii="Tahoma" w:hAnsi="Tahoma" w:cs="Tahoma"/>
                <w:sz w:val="18"/>
                <w:szCs w:val="18"/>
              </w:rPr>
            </w:pPr>
            <w:r w:rsidRPr="00F0305E">
              <w:rPr>
                <w:rFonts w:ascii="Tahoma" w:hAnsi="Tahoma" w:cs="Tahoma"/>
                <w:sz w:val="18"/>
                <w:szCs w:val="18"/>
              </w:rPr>
              <w:t xml:space="preserve"> Ονοματεπώνυμο………………………….</w:t>
            </w:r>
          </w:p>
        </w:tc>
      </w:tr>
      <w:bookmarkEnd w:id="0"/>
      <w:tr w:rsidR="00FA4804" w:rsidRPr="00F0305E" w:rsidTr="00FF2E2C">
        <w:tblPrEx>
          <w:jc w:val="left"/>
        </w:tblPrEx>
        <w:trPr>
          <w:trHeight w:val="969"/>
        </w:trPr>
        <w:tc>
          <w:tcPr>
            <w:tcW w:w="6963" w:type="dxa"/>
            <w:gridSpan w:val="8"/>
            <w:vMerge/>
            <w:tcBorders>
              <w:top w:val="single" w:sz="4" w:space="0" w:color="auto"/>
              <w:left w:val="single" w:sz="4" w:space="0" w:color="auto"/>
              <w:bottom w:val="single" w:sz="4" w:space="0" w:color="auto"/>
              <w:right w:val="single" w:sz="4" w:space="0" w:color="auto"/>
            </w:tcBorders>
            <w:vAlign w:val="center"/>
            <w:hideMark/>
          </w:tcPr>
          <w:p w:rsidR="00FA4804" w:rsidRPr="00F0305E" w:rsidRDefault="00FA4804">
            <w:pPr>
              <w:rPr>
                <w:rFonts w:ascii="Tahoma" w:hAnsi="Tahoma" w:cs="Tahoma"/>
                <w:sz w:val="18"/>
                <w:szCs w:val="18"/>
              </w:rPr>
            </w:pPr>
          </w:p>
        </w:tc>
        <w:tc>
          <w:tcPr>
            <w:tcW w:w="8044" w:type="dxa"/>
            <w:gridSpan w:val="4"/>
            <w:tcBorders>
              <w:top w:val="single" w:sz="4" w:space="0" w:color="auto"/>
              <w:left w:val="single" w:sz="4" w:space="0" w:color="auto"/>
              <w:bottom w:val="single" w:sz="4" w:space="0" w:color="auto"/>
              <w:right w:val="single" w:sz="4" w:space="0" w:color="auto"/>
            </w:tcBorders>
            <w:vAlign w:val="center"/>
            <w:hideMark/>
          </w:tcPr>
          <w:p w:rsidR="00FA4804" w:rsidRPr="00F0305E" w:rsidRDefault="00FA4804">
            <w:pPr>
              <w:spacing w:before="60" w:after="60" w:line="240" w:lineRule="exact"/>
              <w:rPr>
                <w:rFonts w:ascii="Tahoma" w:hAnsi="Tahoma" w:cs="Tahoma"/>
                <w:sz w:val="18"/>
                <w:szCs w:val="18"/>
              </w:rPr>
            </w:pPr>
            <w:r w:rsidRPr="00F0305E">
              <w:rPr>
                <w:rFonts w:ascii="Tahoma" w:hAnsi="Tahoma" w:cs="Tahoma"/>
                <w:sz w:val="18"/>
                <w:szCs w:val="18"/>
              </w:rPr>
              <w:t xml:space="preserve"> Υπογραφή ……………………………….</w:t>
            </w:r>
          </w:p>
        </w:tc>
      </w:tr>
    </w:tbl>
    <w:p w:rsidR="00FA4804" w:rsidRPr="00F0305E" w:rsidRDefault="00FA4804" w:rsidP="000A2573">
      <w:pPr>
        <w:rPr>
          <w:rFonts w:ascii="Tahoma" w:hAnsi="Tahoma" w:cs="Tahoma"/>
          <w:lang w:val="en-US"/>
        </w:rPr>
      </w:pPr>
    </w:p>
    <w:p w:rsidR="00FA4804" w:rsidRPr="00F0305E" w:rsidRDefault="00FA4804" w:rsidP="000A2573">
      <w:pPr>
        <w:rPr>
          <w:rFonts w:ascii="Tahoma" w:hAnsi="Tahoma" w:cs="Tahoma"/>
          <w:lang w:val="en-US"/>
        </w:rPr>
      </w:pPr>
    </w:p>
    <w:sectPr w:rsidR="00FA4804" w:rsidRPr="00F0305E" w:rsidSect="006D38E8">
      <w:footerReference w:type="even" r:id="rId8"/>
      <w:footerReference w:type="default" r:id="rId9"/>
      <w:pgSz w:w="16838" w:h="11906" w:orient="landscape"/>
      <w:pgMar w:top="1077" w:right="907" w:bottom="1077" w:left="907" w:header="709" w:footer="28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08B" w:rsidRDefault="0067408B">
      <w:r>
        <w:separator/>
      </w:r>
    </w:p>
  </w:endnote>
  <w:endnote w:type="continuationSeparator" w:id="0">
    <w:p w:rsidR="0067408B" w:rsidRDefault="00674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Andale Sans UI">
    <w:altName w:val="Calibri"/>
    <w:charset w:val="A1"/>
    <w:family w:val="auto"/>
    <w:pitch w:val="variable"/>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E89" w:rsidRDefault="000A3E89"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rsidR="000A3E89" w:rsidRDefault="000A3E8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88" w:type="dxa"/>
      <w:jc w:val="center"/>
      <w:tblBorders>
        <w:top w:val="single" w:sz="4" w:space="0" w:color="auto"/>
      </w:tblBorders>
      <w:tblLook w:val="01E0" w:firstRow="1" w:lastRow="1" w:firstColumn="1" w:lastColumn="1" w:noHBand="0" w:noVBand="0"/>
    </w:tblPr>
    <w:tblGrid>
      <w:gridCol w:w="5297"/>
      <w:gridCol w:w="4248"/>
      <w:gridCol w:w="5043"/>
    </w:tblGrid>
    <w:tr w:rsidR="000A3E89" w:rsidRPr="009A78A6" w:rsidTr="00A43D92">
      <w:trPr>
        <w:jc w:val="center"/>
      </w:trPr>
      <w:tc>
        <w:tcPr>
          <w:tcW w:w="5297" w:type="dxa"/>
          <w:shd w:val="clear" w:color="auto" w:fill="auto"/>
        </w:tcPr>
        <w:p w:rsidR="002F517F" w:rsidRDefault="002F517F" w:rsidP="00F0305E">
          <w:pPr>
            <w:spacing w:before="120"/>
            <w:rPr>
              <w:rFonts w:ascii="Tahoma" w:hAnsi="Tahoma" w:cs="Tahoma"/>
              <w:sz w:val="16"/>
              <w:szCs w:val="16"/>
            </w:rPr>
          </w:pPr>
          <w:r>
            <w:rPr>
              <w:rFonts w:ascii="Tahoma" w:hAnsi="Tahoma" w:cs="Tahoma"/>
              <w:sz w:val="16"/>
              <w:szCs w:val="16"/>
            </w:rPr>
            <w:t>Λίστα: Λ.ΙΙ.2_7</w:t>
          </w:r>
        </w:p>
        <w:p w:rsidR="002F517F" w:rsidRDefault="002F517F" w:rsidP="00F0305E">
          <w:pPr>
            <w:rPr>
              <w:rFonts w:ascii="Tahoma" w:hAnsi="Tahoma" w:cs="Tahoma"/>
              <w:sz w:val="16"/>
              <w:szCs w:val="16"/>
            </w:rPr>
          </w:pPr>
          <w:r>
            <w:rPr>
              <w:rFonts w:ascii="Tahoma" w:hAnsi="Tahoma" w:cs="Tahoma"/>
              <w:sz w:val="16"/>
              <w:szCs w:val="16"/>
            </w:rPr>
            <w:t>Έκδοση: 1η</w:t>
          </w:r>
        </w:p>
        <w:p w:rsidR="002F517F" w:rsidRDefault="00461599" w:rsidP="00F0305E">
          <w:pPr>
            <w:rPr>
              <w:rFonts w:ascii="Calibri" w:hAnsi="Calibri" w:cs="Calibri"/>
              <w:sz w:val="22"/>
              <w:szCs w:val="22"/>
            </w:rPr>
          </w:pPr>
          <w:proofErr w:type="spellStart"/>
          <w:r>
            <w:rPr>
              <w:rFonts w:ascii="Tahoma" w:hAnsi="Tahoma" w:cs="Tahoma"/>
              <w:sz w:val="16"/>
              <w:szCs w:val="16"/>
            </w:rPr>
            <w:t>Ημ</w:t>
          </w:r>
          <w:proofErr w:type="spellEnd"/>
          <w:r>
            <w:rPr>
              <w:rFonts w:ascii="Tahoma" w:hAnsi="Tahoma" w:cs="Tahoma"/>
              <w:sz w:val="16"/>
              <w:szCs w:val="16"/>
            </w:rPr>
            <w:t xml:space="preserve">/νια Έκδοσης: Ιούνιος </w:t>
          </w:r>
          <w:r w:rsidR="002F517F">
            <w:rPr>
              <w:rFonts w:ascii="Tahoma" w:hAnsi="Tahoma" w:cs="Tahoma"/>
              <w:sz w:val="16"/>
              <w:szCs w:val="16"/>
            </w:rPr>
            <w:t>2023</w:t>
          </w:r>
        </w:p>
        <w:p w:rsidR="000A3E89" w:rsidRPr="004D78F4" w:rsidRDefault="000A3E89" w:rsidP="00197B1E">
          <w:pPr>
            <w:rPr>
              <w:rFonts w:ascii="Tahoma" w:hAnsi="Tahoma" w:cs="Tahoma"/>
              <w:b/>
              <w:sz w:val="16"/>
              <w:szCs w:val="16"/>
            </w:rPr>
          </w:pPr>
        </w:p>
      </w:tc>
      <w:tc>
        <w:tcPr>
          <w:tcW w:w="4248" w:type="dxa"/>
          <w:shd w:val="clear" w:color="auto" w:fill="auto"/>
          <w:vAlign w:val="center"/>
        </w:tcPr>
        <w:p w:rsidR="000A3E89" w:rsidRPr="009A78A6" w:rsidRDefault="000A3E89" w:rsidP="00A43D92">
          <w:pPr>
            <w:spacing w:line="300" w:lineRule="atLeast"/>
            <w:ind w:left="400"/>
            <w:jc w:val="center"/>
            <w:rPr>
              <w:rFonts w:ascii="Tahoma" w:hAnsi="Tahoma" w:cs="Tahoma"/>
              <w:sz w:val="16"/>
              <w:szCs w:val="16"/>
            </w:rPr>
          </w:pPr>
          <w:r w:rsidRPr="009A78A6">
            <w:rPr>
              <w:rFonts w:ascii="Tahoma" w:hAnsi="Tahoma" w:cs="Tahoma"/>
              <w:sz w:val="16"/>
              <w:szCs w:val="16"/>
            </w:rPr>
            <w:fldChar w:fldCharType="begin"/>
          </w:r>
          <w:r w:rsidRPr="009A78A6">
            <w:rPr>
              <w:rFonts w:ascii="Tahoma" w:hAnsi="Tahoma" w:cs="Tahoma"/>
              <w:sz w:val="16"/>
              <w:szCs w:val="16"/>
            </w:rPr>
            <w:instrText xml:space="preserve"> PAGE </w:instrText>
          </w:r>
          <w:r w:rsidRPr="009A78A6">
            <w:rPr>
              <w:rFonts w:ascii="Tahoma" w:hAnsi="Tahoma" w:cs="Tahoma"/>
              <w:sz w:val="16"/>
              <w:szCs w:val="16"/>
            </w:rPr>
            <w:fldChar w:fldCharType="separate"/>
          </w:r>
          <w:r w:rsidR="00FF2E2C">
            <w:rPr>
              <w:rFonts w:ascii="Tahoma" w:hAnsi="Tahoma" w:cs="Tahoma"/>
              <w:noProof/>
              <w:sz w:val="16"/>
              <w:szCs w:val="16"/>
            </w:rPr>
            <w:t>- 4 -</w:t>
          </w:r>
          <w:r w:rsidRPr="009A78A6">
            <w:rPr>
              <w:rFonts w:ascii="Tahoma" w:hAnsi="Tahoma" w:cs="Tahoma"/>
              <w:sz w:val="16"/>
              <w:szCs w:val="16"/>
            </w:rPr>
            <w:fldChar w:fldCharType="end"/>
          </w:r>
        </w:p>
      </w:tc>
      <w:tc>
        <w:tcPr>
          <w:tcW w:w="5043" w:type="dxa"/>
          <w:shd w:val="clear" w:color="auto" w:fill="auto"/>
          <w:vAlign w:val="center"/>
        </w:tcPr>
        <w:p w:rsidR="000A3E89" w:rsidRPr="009A78A6" w:rsidRDefault="002F517F" w:rsidP="001420F8">
          <w:pPr>
            <w:spacing w:before="120"/>
            <w:jc w:val="right"/>
            <w:rPr>
              <w:rFonts w:ascii="Tahoma" w:hAnsi="Tahoma" w:cs="Tahoma"/>
              <w:b/>
              <w:sz w:val="16"/>
              <w:szCs w:val="16"/>
            </w:rPr>
          </w:pPr>
          <w:r>
            <w:rPr>
              <w:rFonts w:ascii="Arial Narrow" w:hAnsi="Arial Narrow"/>
              <w:b/>
              <w:bCs/>
              <w:noProof/>
              <w:sz w:val="16"/>
              <w:szCs w:val="16"/>
            </w:rPr>
            <w:drawing>
              <wp:inline distT="0" distB="0" distL="0" distR="0">
                <wp:extent cx="742950" cy="457200"/>
                <wp:effectExtent l="0" t="0" r="0" b="0"/>
                <wp:docPr id="1" name="Εικόνα 1" descr="cid:image001.png@01D99EC5.25879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descr="cid:image001.png@01D99EC5.25879A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42950" cy="457200"/>
                        </a:xfrm>
                        <a:prstGeom prst="rect">
                          <a:avLst/>
                        </a:prstGeom>
                        <a:noFill/>
                        <a:ln>
                          <a:noFill/>
                        </a:ln>
                      </pic:spPr>
                    </pic:pic>
                  </a:graphicData>
                </a:graphic>
              </wp:inline>
            </w:drawing>
          </w:r>
        </w:p>
      </w:tc>
    </w:tr>
  </w:tbl>
  <w:p w:rsidR="000A3E89" w:rsidRDefault="000A3E8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08B" w:rsidRDefault="0067408B">
      <w:r>
        <w:separator/>
      </w:r>
    </w:p>
  </w:footnote>
  <w:footnote w:type="continuationSeparator" w:id="0">
    <w:p w:rsidR="0067408B" w:rsidRDefault="006740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912176E"/>
    <w:multiLevelType w:val="hybridMultilevel"/>
    <w:tmpl w:val="26CEF7D2"/>
    <w:lvl w:ilvl="0" w:tplc="D49A9ED4">
      <w:start w:val="1"/>
      <w:numFmt w:val="bullet"/>
      <w:lvlText w:val=""/>
      <w:lvlJc w:val="left"/>
      <w:pPr>
        <w:tabs>
          <w:tab w:val="num" w:pos="720"/>
        </w:tabs>
        <w:ind w:left="720" w:hanging="360"/>
      </w:pPr>
      <w:rPr>
        <w:rFonts w:ascii="Wingdings" w:hAnsi="Wingdings" w:hint="default"/>
      </w:rPr>
    </w:lvl>
    <w:lvl w:ilvl="1" w:tplc="C2DE37AC" w:tentative="1">
      <w:start w:val="1"/>
      <w:numFmt w:val="bullet"/>
      <w:lvlText w:val=""/>
      <w:lvlJc w:val="left"/>
      <w:pPr>
        <w:tabs>
          <w:tab w:val="num" w:pos="1440"/>
        </w:tabs>
        <w:ind w:left="1440" w:hanging="360"/>
      </w:pPr>
      <w:rPr>
        <w:rFonts w:ascii="Wingdings" w:hAnsi="Wingdings" w:hint="default"/>
      </w:rPr>
    </w:lvl>
    <w:lvl w:ilvl="2" w:tplc="10D4D816" w:tentative="1">
      <w:start w:val="1"/>
      <w:numFmt w:val="bullet"/>
      <w:lvlText w:val=""/>
      <w:lvlJc w:val="left"/>
      <w:pPr>
        <w:tabs>
          <w:tab w:val="num" w:pos="2160"/>
        </w:tabs>
        <w:ind w:left="2160" w:hanging="360"/>
      </w:pPr>
      <w:rPr>
        <w:rFonts w:ascii="Wingdings" w:hAnsi="Wingdings" w:hint="default"/>
      </w:rPr>
    </w:lvl>
    <w:lvl w:ilvl="3" w:tplc="5A62E7D4" w:tentative="1">
      <w:start w:val="1"/>
      <w:numFmt w:val="bullet"/>
      <w:lvlText w:val=""/>
      <w:lvlJc w:val="left"/>
      <w:pPr>
        <w:tabs>
          <w:tab w:val="num" w:pos="2880"/>
        </w:tabs>
        <w:ind w:left="2880" w:hanging="360"/>
      </w:pPr>
      <w:rPr>
        <w:rFonts w:ascii="Wingdings" w:hAnsi="Wingdings" w:hint="default"/>
      </w:rPr>
    </w:lvl>
    <w:lvl w:ilvl="4" w:tplc="49500A82" w:tentative="1">
      <w:start w:val="1"/>
      <w:numFmt w:val="bullet"/>
      <w:lvlText w:val=""/>
      <w:lvlJc w:val="left"/>
      <w:pPr>
        <w:tabs>
          <w:tab w:val="num" w:pos="3600"/>
        </w:tabs>
        <w:ind w:left="3600" w:hanging="360"/>
      </w:pPr>
      <w:rPr>
        <w:rFonts w:ascii="Wingdings" w:hAnsi="Wingdings" w:hint="default"/>
      </w:rPr>
    </w:lvl>
    <w:lvl w:ilvl="5" w:tplc="9A2055E2" w:tentative="1">
      <w:start w:val="1"/>
      <w:numFmt w:val="bullet"/>
      <w:lvlText w:val=""/>
      <w:lvlJc w:val="left"/>
      <w:pPr>
        <w:tabs>
          <w:tab w:val="num" w:pos="4320"/>
        </w:tabs>
        <w:ind w:left="4320" w:hanging="360"/>
      </w:pPr>
      <w:rPr>
        <w:rFonts w:ascii="Wingdings" w:hAnsi="Wingdings" w:hint="default"/>
      </w:rPr>
    </w:lvl>
    <w:lvl w:ilvl="6" w:tplc="59B619D8" w:tentative="1">
      <w:start w:val="1"/>
      <w:numFmt w:val="bullet"/>
      <w:lvlText w:val=""/>
      <w:lvlJc w:val="left"/>
      <w:pPr>
        <w:tabs>
          <w:tab w:val="num" w:pos="5040"/>
        </w:tabs>
        <w:ind w:left="5040" w:hanging="360"/>
      </w:pPr>
      <w:rPr>
        <w:rFonts w:ascii="Wingdings" w:hAnsi="Wingdings" w:hint="default"/>
      </w:rPr>
    </w:lvl>
    <w:lvl w:ilvl="7" w:tplc="DD4C4A06" w:tentative="1">
      <w:start w:val="1"/>
      <w:numFmt w:val="bullet"/>
      <w:lvlText w:val=""/>
      <w:lvlJc w:val="left"/>
      <w:pPr>
        <w:tabs>
          <w:tab w:val="num" w:pos="5760"/>
        </w:tabs>
        <w:ind w:left="5760" w:hanging="360"/>
      </w:pPr>
      <w:rPr>
        <w:rFonts w:ascii="Wingdings" w:hAnsi="Wingdings" w:hint="default"/>
      </w:rPr>
    </w:lvl>
    <w:lvl w:ilvl="8" w:tplc="3F6468C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9949E1"/>
    <w:multiLevelType w:val="multilevel"/>
    <w:tmpl w:val="DFECE99E"/>
    <w:lvl w:ilvl="0">
      <w:start w:val="9"/>
      <w:numFmt w:val="decimal"/>
      <w:lvlText w:val="%1"/>
      <w:lvlJc w:val="left"/>
      <w:pPr>
        <w:ind w:left="360" w:hanging="360"/>
      </w:pPr>
      <w:rPr>
        <w:rFonts w:hint="default"/>
        <w:b w:val="0"/>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3AB1EA6"/>
    <w:multiLevelType w:val="hybridMultilevel"/>
    <w:tmpl w:val="18EC717C"/>
    <w:lvl w:ilvl="0" w:tplc="275C77F6">
      <w:start w:val="1"/>
      <w:numFmt w:val="bullet"/>
      <w:lvlText w:val=""/>
      <w:lvlJc w:val="left"/>
      <w:pPr>
        <w:tabs>
          <w:tab w:val="num" w:pos="720"/>
        </w:tabs>
        <w:ind w:left="720" w:hanging="360"/>
      </w:pPr>
      <w:rPr>
        <w:rFonts w:ascii="Wingdings" w:hAnsi="Wingdings" w:hint="default"/>
      </w:rPr>
    </w:lvl>
    <w:lvl w:ilvl="1" w:tplc="B8460B6C" w:tentative="1">
      <w:start w:val="1"/>
      <w:numFmt w:val="bullet"/>
      <w:lvlText w:val=""/>
      <w:lvlJc w:val="left"/>
      <w:pPr>
        <w:tabs>
          <w:tab w:val="num" w:pos="1440"/>
        </w:tabs>
        <w:ind w:left="1440" w:hanging="360"/>
      </w:pPr>
      <w:rPr>
        <w:rFonts w:ascii="Wingdings" w:hAnsi="Wingdings" w:hint="default"/>
      </w:rPr>
    </w:lvl>
    <w:lvl w:ilvl="2" w:tplc="9A84447E" w:tentative="1">
      <w:start w:val="1"/>
      <w:numFmt w:val="bullet"/>
      <w:lvlText w:val=""/>
      <w:lvlJc w:val="left"/>
      <w:pPr>
        <w:tabs>
          <w:tab w:val="num" w:pos="2160"/>
        </w:tabs>
        <w:ind w:left="2160" w:hanging="360"/>
      </w:pPr>
      <w:rPr>
        <w:rFonts w:ascii="Wingdings" w:hAnsi="Wingdings" w:hint="default"/>
      </w:rPr>
    </w:lvl>
    <w:lvl w:ilvl="3" w:tplc="0A1409B4" w:tentative="1">
      <w:start w:val="1"/>
      <w:numFmt w:val="bullet"/>
      <w:lvlText w:val=""/>
      <w:lvlJc w:val="left"/>
      <w:pPr>
        <w:tabs>
          <w:tab w:val="num" w:pos="2880"/>
        </w:tabs>
        <w:ind w:left="2880" w:hanging="360"/>
      </w:pPr>
      <w:rPr>
        <w:rFonts w:ascii="Wingdings" w:hAnsi="Wingdings" w:hint="default"/>
      </w:rPr>
    </w:lvl>
    <w:lvl w:ilvl="4" w:tplc="AC8C211C" w:tentative="1">
      <w:start w:val="1"/>
      <w:numFmt w:val="bullet"/>
      <w:lvlText w:val=""/>
      <w:lvlJc w:val="left"/>
      <w:pPr>
        <w:tabs>
          <w:tab w:val="num" w:pos="3600"/>
        </w:tabs>
        <w:ind w:left="3600" w:hanging="360"/>
      </w:pPr>
      <w:rPr>
        <w:rFonts w:ascii="Wingdings" w:hAnsi="Wingdings" w:hint="default"/>
      </w:rPr>
    </w:lvl>
    <w:lvl w:ilvl="5" w:tplc="80C804CE" w:tentative="1">
      <w:start w:val="1"/>
      <w:numFmt w:val="bullet"/>
      <w:lvlText w:val=""/>
      <w:lvlJc w:val="left"/>
      <w:pPr>
        <w:tabs>
          <w:tab w:val="num" w:pos="4320"/>
        </w:tabs>
        <w:ind w:left="4320" w:hanging="360"/>
      </w:pPr>
      <w:rPr>
        <w:rFonts w:ascii="Wingdings" w:hAnsi="Wingdings" w:hint="default"/>
      </w:rPr>
    </w:lvl>
    <w:lvl w:ilvl="6" w:tplc="B4DE1938" w:tentative="1">
      <w:start w:val="1"/>
      <w:numFmt w:val="bullet"/>
      <w:lvlText w:val=""/>
      <w:lvlJc w:val="left"/>
      <w:pPr>
        <w:tabs>
          <w:tab w:val="num" w:pos="5040"/>
        </w:tabs>
        <w:ind w:left="5040" w:hanging="360"/>
      </w:pPr>
      <w:rPr>
        <w:rFonts w:ascii="Wingdings" w:hAnsi="Wingdings" w:hint="default"/>
      </w:rPr>
    </w:lvl>
    <w:lvl w:ilvl="7" w:tplc="F48C5EFC" w:tentative="1">
      <w:start w:val="1"/>
      <w:numFmt w:val="bullet"/>
      <w:lvlText w:val=""/>
      <w:lvlJc w:val="left"/>
      <w:pPr>
        <w:tabs>
          <w:tab w:val="num" w:pos="5760"/>
        </w:tabs>
        <w:ind w:left="5760" w:hanging="360"/>
      </w:pPr>
      <w:rPr>
        <w:rFonts w:ascii="Wingdings" w:hAnsi="Wingdings" w:hint="default"/>
      </w:rPr>
    </w:lvl>
    <w:lvl w:ilvl="8" w:tplc="85A0D09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19"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6912C6"/>
    <w:multiLevelType w:val="hybridMultilevel"/>
    <w:tmpl w:val="B9DEF576"/>
    <w:lvl w:ilvl="0" w:tplc="5900D2B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9D7345"/>
    <w:multiLevelType w:val="hybridMultilevel"/>
    <w:tmpl w:val="8B8626AC"/>
    <w:lvl w:ilvl="0" w:tplc="D98EB85E">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9"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0FD5F43"/>
    <w:multiLevelType w:val="hybridMultilevel"/>
    <w:tmpl w:val="926EE8C8"/>
    <w:lvl w:ilvl="0" w:tplc="023E4E06">
      <w:start w:val="1"/>
      <w:numFmt w:val="bullet"/>
      <w:lvlText w:val="•"/>
      <w:lvlJc w:val="left"/>
      <w:pPr>
        <w:tabs>
          <w:tab w:val="num" w:pos="720"/>
        </w:tabs>
        <w:ind w:left="720" w:hanging="360"/>
      </w:pPr>
      <w:rPr>
        <w:rFonts w:ascii="Arial" w:hAnsi="Arial" w:hint="default"/>
      </w:rPr>
    </w:lvl>
    <w:lvl w:ilvl="1" w:tplc="AC4C9528" w:tentative="1">
      <w:start w:val="1"/>
      <w:numFmt w:val="bullet"/>
      <w:lvlText w:val="•"/>
      <w:lvlJc w:val="left"/>
      <w:pPr>
        <w:tabs>
          <w:tab w:val="num" w:pos="1440"/>
        </w:tabs>
        <w:ind w:left="1440" w:hanging="360"/>
      </w:pPr>
      <w:rPr>
        <w:rFonts w:ascii="Arial" w:hAnsi="Arial" w:hint="default"/>
      </w:rPr>
    </w:lvl>
    <w:lvl w:ilvl="2" w:tplc="AFBC6778" w:tentative="1">
      <w:start w:val="1"/>
      <w:numFmt w:val="bullet"/>
      <w:lvlText w:val="•"/>
      <w:lvlJc w:val="left"/>
      <w:pPr>
        <w:tabs>
          <w:tab w:val="num" w:pos="2160"/>
        </w:tabs>
        <w:ind w:left="2160" w:hanging="360"/>
      </w:pPr>
      <w:rPr>
        <w:rFonts w:ascii="Arial" w:hAnsi="Arial" w:hint="default"/>
      </w:rPr>
    </w:lvl>
    <w:lvl w:ilvl="3" w:tplc="EAC411F8" w:tentative="1">
      <w:start w:val="1"/>
      <w:numFmt w:val="bullet"/>
      <w:lvlText w:val="•"/>
      <w:lvlJc w:val="left"/>
      <w:pPr>
        <w:tabs>
          <w:tab w:val="num" w:pos="2880"/>
        </w:tabs>
        <w:ind w:left="2880" w:hanging="360"/>
      </w:pPr>
      <w:rPr>
        <w:rFonts w:ascii="Arial" w:hAnsi="Arial" w:hint="default"/>
      </w:rPr>
    </w:lvl>
    <w:lvl w:ilvl="4" w:tplc="BBC64140" w:tentative="1">
      <w:start w:val="1"/>
      <w:numFmt w:val="bullet"/>
      <w:lvlText w:val="•"/>
      <w:lvlJc w:val="left"/>
      <w:pPr>
        <w:tabs>
          <w:tab w:val="num" w:pos="3600"/>
        </w:tabs>
        <w:ind w:left="3600" w:hanging="360"/>
      </w:pPr>
      <w:rPr>
        <w:rFonts w:ascii="Arial" w:hAnsi="Arial" w:hint="default"/>
      </w:rPr>
    </w:lvl>
    <w:lvl w:ilvl="5" w:tplc="B38E02D6" w:tentative="1">
      <w:start w:val="1"/>
      <w:numFmt w:val="bullet"/>
      <w:lvlText w:val="•"/>
      <w:lvlJc w:val="left"/>
      <w:pPr>
        <w:tabs>
          <w:tab w:val="num" w:pos="4320"/>
        </w:tabs>
        <w:ind w:left="4320" w:hanging="360"/>
      </w:pPr>
      <w:rPr>
        <w:rFonts w:ascii="Arial" w:hAnsi="Arial" w:hint="default"/>
      </w:rPr>
    </w:lvl>
    <w:lvl w:ilvl="6" w:tplc="111CA84C" w:tentative="1">
      <w:start w:val="1"/>
      <w:numFmt w:val="bullet"/>
      <w:lvlText w:val="•"/>
      <w:lvlJc w:val="left"/>
      <w:pPr>
        <w:tabs>
          <w:tab w:val="num" w:pos="5040"/>
        </w:tabs>
        <w:ind w:left="5040" w:hanging="360"/>
      </w:pPr>
      <w:rPr>
        <w:rFonts w:ascii="Arial" w:hAnsi="Arial" w:hint="default"/>
      </w:rPr>
    </w:lvl>
    <w:lvl w:ilvl="7" w:tplc="0882E008" w:tentative="1">
      <w:start w:val="1"/>
      <w:numFmt w:val="bullet"/>
      <w:lvlText w:val="•"/>
      <w:lvlJc w:val="left"/>
      <w:pPr>
        <w:tabs>
          <w:tab w:val="num" w:pos="5760"/>
        </w:tabs>
        <w:ind w:left="5760" w:hanging="360"/>
      </w:pPr>
      <w:rPr>
        <w:rFonts w:ascii="Arial" w:hAnsi="Arial" w:hint="default"/>
      </w:rPr>
    </w:lvl>
    <w:lvl w:ilvl="8" w:tplc="2430C2C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C946AB"/>
    <w:multiLevelType w:val="hybridMultilevel"/>
    <w:tmpl w:val="8938A078"/>
    <w:lvl w:ilvl="0" w:tplc="9F18F498">
      <w:start w:val="1"/>
      <w:numFmt w:val="bullet"/>
      <w:lvlText w:val=""/>
      <w:lvlJc w:val="left"/>
      <w:pPr>
        <w:tabs>
          <w:tab w:val="num" w:pos="720"/>
        </w:tabs>
        <w:ind w:left="720" w:hanging="360"/>
      </w:pPr>
      <w:rPr>
        <w:rFonts w:ascii="Wingdings" w:hAnsi="Wingdings" w:hint="default"/>
      </w:rPr>
    </w:lvl>
    <w:lvl w:ilvl="1" w:tplc="375082EC" w:tentative="1">
      <w:start w:val="1"/>
      <w:numFmt w:val="bullet"/>
      <w:lvlText w:val=""/>
      <w:lvlJc w:val="left"/>
      <w:pPr>
        <w:tabs>
          <w:tab w:val="num" w:pos="1440"/>
        </w:tabs>
        <w:ind w:left="1440" w:hanging="360"/>
      </w:pPr>
      <w:rPr>
        <w:rFonts w:ascii="Wingdings" w:hAnsi="Wingdings" w:hint="default"/>
      </w:rPr>
    </w:lvl>
    <w:lvl w:ilvl="2" w:tplc="201AF066" w:tentative="1">
      <w:start w:val="1"/>
      <w:numFmt w:val="bullet"/>
      <w:lvlText w:val=""/>
      <w:lvlJc w:val="left"/>
      <w:pPr>
        <w:tabs>
          <w:tab w:val="num" w:pos="2160"/>
        </w:tabs>
        <w:ind w:left="2160" w:hanging="360"/>
      </w:pPr>
      <w:rPr>
        <w:rFonts w:ascii="Wingdings" w:hAnsi="Wingdings" w:hint="default"/>
      </w:rPr>
    </w:lvl>
    <w:lvl w:ilvl="3" w:tplc="27763A06" w:tentative="1">
      <w:start w:val="1"/>
      <w:numFmt w:val="bullet"/>
      <w:lvlText w:val=""/>
      <w:lvlJc w:val="left"/>
      <w:pPr>
        <w:tabs>
          <w:tab w:val="num" w:pos="2880"/>
        </w:tabs>
        <w:ind w:left="2880" w:hanging="360"/>
      </w:pPr>
      <w:rPr>
        <w:rFonts w:ascii="Wingdings" w:hAnsi="Wingdings" w:hint="default"/>
      </w:rPr>
    </w:lvl>
    <w:lvl w:ilvl="4" w:tplc="63344F68" w:tentative="1">
      <w:start w:val="1"/>
      <w:numFmt w:val="bullet"/>
      <w:lvlText w:val=""/>
      <w:lvlJc w:val="left"/>
      <w:pPr>
        <w:tabs>
          <w:tab w:val="num" w:pos="3600"/>
        </w:tabs>
        <w:ind w:left="3600" w:hanging="360"/>
      </w:pPr>
      <w:rPr>
        <w:rFonts w:ascii="Wingdings" w:hAnsi="Wingdings" w:hint="default"/>
      </w:rPr>
    </w:lvl>
    <w:lvl w:ilvl="5" w:tplc="D5801286" w:tentative="1">
      <w:start w:val="1"/>
      <w:numFmt w:val="bullet"/>
      <w:lvlText w:val=""/>
      <w:lvlJc w:val="left"/>
      <w:pPr>
        <w:tabs>
          <w:tab w:val="num" w:pos="4320"/>
        </w:tabs>
        <w:ind w:left="4320" w:hanging="360"/>
      </w:pPr>
      <w:rPr>
        <w:rFonts w:ascii="Wingdings" w:hAnsi="Wingdings" w:hint="default"/>
      </w:rPr>
    </w:lvl>
    <w:lvl w:ilvl="6" w:tplc="19A051D4" w:tentative="1">
      <w:start w:val="1"/>
      <w:numFmt w:val="bullet"/>
      <w:lvlText w:val=""/>
      <w:lvlJc w:val="left"/>
      <w:pPr>
        <w:tabs>
          <w:tab w:val="num" w:pos="5040"/>
        </w:tabs>
        <w:ind w:left="5040" w:hanging="360"/>
      </w:pPr>
      <w:rPr>
        <w:rFonts w:ascii="Wingdings" w:hAnsi="Wingdings" w:hint="default"/>
      </w:rPr>
    </w:lvl>
    <w:lvl w:ilvl="7" w:tplc="A064B76A" w:tentative="1">
      <w:start w:val="1"/>
      <w:numFmt w:val="bullet"/>
      <w:lvlText w:val=""/>
      <w:lvlJc w:val="left"/>
      <w:pPr>
        <w:tabs>
          <w:tab w:val="num" w:pos="5760"/>
        </w:tabs>
        <w:ind w:left="5760" w:hanging="360"/>
      </w:pPr>
      <w:rPr>
        <w:rFonts w:ascii="Wingdings" w:hAnsi="Wingdings" w:hint="default"/>
      </w:rPr>
    </w:lvl>
    <w:lvl w:ilvl="8" w:tplc="100853B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BBB00F8"/>
    <w:multiLevelType w:val="hybridMultilevel"/>
    <w:tmpl w:val="A4DAE162"/>
    <w:lvl w:ilvl="0" w:tplc="063A33C0">
      <w:start w:val="1"/>
      <w:numFmt w:val="bullet"/>
      <w:lvlText w:val=""/>
      <w:lvlJc w:val="left"/>
      <w:pPr>
        <w:tabs>
          <w:tab w:val="num" w:pos="720"/>
        </w:tabs>
        <w:ind w:left="720" w:hanging="360"/>
      </w:pPr>
      <w:rPr>
        <w:rFonts w:ascii="Wingdings" w:hAnsi="Wingdings" w:hint="default"/>
      </w:rPr>
    </w:lvl>
    <w:lvl w:ilvl="1" w:tplc="B08A3726" w:tentative="1">
      <w:start w:val="1"/>
      <w:numFmt w:val="bullet"/>
      <w:lvlText w:val=""/>
      <w:lvlJc w:val="left"/>
      <w:pPr>
        <w:tabs>
          <w:tab w:val="num" w:pos="1440"/>
        </w:tabs>
        <w:ind w:left="1440" w:hanging="360"/>
      </w:pPr>
      <w:rPr>
        <w:rFonts w:ascii="Wingdings" w:hAnsi="Wingdings" w:hint="default"/>
      </w:rPr>
    </w:lvl>
    <w:lvl w:ilvl="2" w:tplc="1B107642" w:tentative="1">
      <w:start w:val="1"/>
      <w:numFmt w:val="bullet"/>
      <w:lvlText w:val=""/>
      <w:lvlJc w:val="left"/>
      <w:pPr>
        <w:tabs>
          <w:tab w:val="num" w:pos="2160"/>
        </w:tabs>
        <w:ind w:left="2160" w:hanging="360"/>
      </w:pPr>
      <w:rPr>
        <w:rFonts w:ascii="Wingdings" w:hAnsi="Wingdings" w:hint="default"/>
      </w:rPr>
    </w:lvl>
    <w:lvl w:ilvl="3" w:tplc="2A322D22" w:tentative="1">
      <w:start w:val="1"/>
      <w:numFmt w:val="bullet"/>
      <w:lvlText w:val=""/>
      <w:lvlJc w:val="left"/>
      <w:pPr>
        <w:tabs>
          <w:tab w:val="num" w:pos="2880"/>
        </w:tabs>
        <w:ind w:left="2880" w:hanging="360"/>
      </w:pPr>
      <w:rPr>
        <w:rFonts w:ascii="Wingdings" w:hAnsi="Wingdings" w:hint="default"/>
      </w:rPr>
    </w:lvl>
    <w:lvl w:ilvl="4" w:tplc="D6E80580" w:tentative="1">
      <w:start w:val="1"/>
      <w:numFmt w:val="bullet"/>
      <w:lvlText w:val=""/>
      <w:lvlJc w:val="left"/>
      <w:pPr>
        <w:tabs>
          <w:tab w:val="num" w:pos="3600"/>
        </w:tabs>
        <w:ind w:left="3600" w:hanging="360"/>
      </w:pPr>
      <w:rPr>
        <w:rFonts w:ascii="Wingdings" w:hAnsi="Wingdings" w:hint="default"/>
      </w:rPr>
    </w:lvl>
    <w:lvl w:ilvl="5" w:tplc="56C88EA2" w:tentative="1">
      <w:start w:val="1"/>
      <w:numFmt w:val="bullet"/>
      <w:lvlText w:val=""/>
      <w:lvlJc w:val="left"/>
      <w:pPr>
        <w:tabs>
          <w:tab w:val="num" w:pos="4320"/>
        </w:tabs>
        <w:ind w:left="4320" w:hanging="360"/>
      </w:pPr>
      <w:rPr>
        <w:rFonts w:ascii="Wingdings" w:hAnsi="Wingdings" w:hint="default"/>
      </w:rPr>
    </w:lvl>
    <w:lvl w:ilvl="6" w:tplc="89C2464E" w:tentative="1">
      <w:start w:val="1"/>
      <w:numFmt w:val="bullet"/>
      <w:lvlText w:val=""/>
      <w:lvlJc w:val="left"/>
      <w:pPr>
        <w:tabs>
          <w:tab w:val="num" w:pos="5040"/>
        </w:tabs>
        <w:ind w:left="5040" w:hanging="360"/>
      </w:pPr>
      <w:rPr>
        <w:rFonts w:ascii="Wingdings" w:hAnsi="Wingdings" w:hint="default"/>
      </w:rPr>
    </w:lvl>
    <w:lvl w:ilvl="7" w:tplc="7ADE09D8" w:tentative="1">
      <w:start w:val="1"/>
      <w:numFmt w:val="bullet"/>
      <w:lvlText w:val=""/>
      <w:lvlJc w:val="left"/>
      <w:pPr>
        <w:tabs>
          <w:tab w:val="num" w:pos="5760"/>
        </w:tabs>
        <w:ind w:left="5760" w:hanging="360"/>
      </w:pPr>
      <w:rPr>
        <w:rFonts w:ascii="Wingdings" w:hAnsi="Wingdings" w:hint="default"/>
      </w:rPr>
    </w:lvl>
    <w:lvl w:ilvl="8" w:tplc="E856C10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21"/>
  </w:num>
  <w:num w:numId="4">
    <w:abstractNumId w:val="18"/>
  </w:num>
  <w:num w:numId="5">
    <w:abstractNumId w:val="28"/>
  </w:num>
  <w:num w:numId="6">
    <w:abstractNumId w:val="25"/>
  </w:num>
  <w:num w:numId="7">
    <w:abstractNumId w:val="5"/>
  </w:num>
  <w:num w:numId="8">
    <w:abstractNumId w:val="7"/>
  </w:num>
  <w:num w:numId="9">
    <w:abstractNumId w:val="19"/>
  </w:num>
  <w:num w:numId="10">
    <w:abstractNumId w:val="14"/>
  </w:num>
  <w:num w:numId="11">
    <w:abstractNumId w:val="6"/>
  </w:num>
  <w:num w:numId="12">
    <w:abstractNumId w:val="16"/>
  </w:num>
  <w:num w:numId="13">
    <w:abstractNumId w:val="23"/>
  </w:num>
  <w:num w:numId="14">
    <w:abstractNumId w:val="9"/>
  </w:num>
  <w:num w:numId="15">
    <w:abstractNumId w:val="31"/>
  </w:num>
  <w:num w:numId="16">
    <w:abstractNumId w:val="22"/>
  </w:num>
  <w:num w:numId="17">
    <w:abstractNumId w:val="15"/>
  </w:num>
  <w:num w:numId="18">
    <w:abstractNumId w:val="8"/>
  </w:num>
  <w:num w:numId="19">
    <w:abstractNumId w:val="27"/>
  </w:num>
  <w:num w:numId="20">
    <w:abstractNumId w:val="1"/>
  </w:num>
  <w:num w:numId="21">
    <w:abstractNumId w:val="13"/>
  </w:num>
  <w:num w:numId="22">
    <w:abstractNumId w:val="17"/>
  </w:num>
  <w:num w:numId="23">
    <w:abstractNumId w:val="26"/>
  </w:num>
  <w:num w:numId="24">
    <w:abstractNumId w:val="0"/>
  </w:num>
  <w:num w:numId="25">
    <w:abstractNumId w:val="4"/>
  </w:num>
  <w:num w:numId="26">
    <w:abstractNumId w:val="29"/>
  </w:num>
  <w:num w:numId="27">
    <w:abstractNumId w:val="3"/>
  </w:num>
  <w:num w:numId="28">
    <w:abstractNumId w:val="2"/>
  </w:num>
  <w:num w:numId="29">
    <w:abstractNumId w:val="12"/>
  </w:num>
  <w:num w:numId="30">
    <w:abstractNumId w:val="32"/>
  </w:num>
  <w:num w:numId="31">
    <w:abstractNumId w:val="30"/>
  </w:num>
  <w:num w:numId="32">
    <w:abstractNumId w:val="33"/>
  </w:num>
  <w:num w:numId="33">
    <w:abstractNumId w:val="20"/>
  </w:num>
  <w:num w:numId="34">
    <w:abstractNumId w:val="24"/>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A72"/>
    <w:rsid w:val="00003293"/>
    <w:rsid w:val="000041C0"/>
    <w:rsid w:val="00006442"/>
    <w:rsid w:val="00007628"/>
    <w:rsid w:val="00007B2F"/>
    <w:rsid w:val="00010383"/>
    <w:rsid w:val="00010780"/>
    <w:rsid w:val="000130A8"/>
    <w:rsid w:val="000145C8"/>
    <w:rsid w:val="00017845"/>
    <w:rsid w:val="000221EA"/>
    <w:rsid w:val="000239B5"/>
    <w:rsid w:val="00024A17"/>
    <w:rsid w:val="00024C2B"/>
    <w:rsid w:val="00025FCD"/>
    <w:rsid w:val="00026BE3"/>
    <w:rsid w:val="00027C9D"/>
    <w:rsid w:val="00027DC4"/>
    <w:rsid w:val="00030920"/>
    <w:rsid w:val="000316A6"/>
    <w:rsid w:val="00031CD6"/>
    <w:rsid w:val="00032330"/>
    <w:rsid w:val="00033B10"/>
    <w:rsid w:val="00034AB0"/>
    <w:rsid w:val="00036C46"/>
    <w:rsid w:val="00040349"/>
    <w:rsid w:val="00041920"/>
    <w:rsid w:val="00043CAD"/>
    <w:rsid w:val="0004499A"/>
    <w:rsid w:val="000456B3"/>
    <w:rsid w:val="0004670C"/>
    <w:rsid w:val="00047F0E"/>
    <w:rsid w:val="00051830"/>
    <w:rsid w:val="0005483E"/>
    <w:rsid w:val="00055132"/>
    <w:rsid w:val="000558B1"/>
    <w:rsid w:val="00055CD7"/>
    <w:rsid w:val="00061189"/>
    <w:rsid w:val="000657F1"/>
    <w:rsid w:val="00066FB1"/>
    <w:rsid w:val="000678D2"/>
    <w:rsid w:val="000707F0"/>
    <w:rsid w:val="00074740"/>
    <w:rsid w:val="00076789"/>
    <w:rsid w:val="00076C51"/>
    <w:rsid w:val="00080059"/>
    <w:rsid w:val="000808C9"/>
    <w:rsid w:val="00080BD8"/>
    <w:rsid w:val="0008261A"/>
    <w:rsid w:val="000826CA"/>
    <w:rsid w:val="000828F0"/>
    <w:rsid w:val="00082C8A"/>
    <w:rsid w:val="00082CED"/>
    <w:rsid w:val="00082F74"/>
    <w:rsid w:val="00083010"/>
    <w:rsid w:val="00083168"/>
    <w:rsid w:val="0008358B"/>
    <w:rsid w:val="00083929"/>
    <w:rsid w:val="0008520F"/>
    <w:rsid w:val="0008729A"/>
    <w:rsid w:val="00087405"/>
    <w:rsid w:val="000907B2"/>
    <w:rsid w:val="00090885"/>
    <w:rsid w:val="000921C1"/>
    <w:rsid w:val="00093396"/>
    <w:rsid w:val="00094C54"/>
    <w:rsid w:val="0009523B"/>
    <w:rsid w:val="00096538"/>
    <w:rsid w:val="00096EEF"/>
    <w:rsid w:val="000A02BD"/>
    <w:rsid w:val="000A133D"/>
    <w:rsid w:val="000A2573"/>
    <w:rsid w:val="000A30DA"/>
    <w:rsid w:val="000A391E"/>
    <w:rsid w:val="000A3E89"/>
    <w:rsid w:val="000A4CED"/>
    <w:rsid w:val="000A5FC2"/>
    <w:rsid w:val="000A6064"/>
    <w:rsid w:val="000A63AE"/>
    <w:rsid w:val="000A66AC"/>
    <w:rsid w:val="000A6D44"/>
    <w:rsid w:val="000A77DB"/>
    <w:rsid w:val="000B18BC"/>
    <w:rsid w:val="000B23E8"/>
    <w:rsid w:val="000B2F5D"/>
    <w:rsid w:val="000B394F"/>
    <w:rsid w:val="000B45E0"/>
    <w:rsid w:val="000C0C25"/>
    <w:rsid w:val="000C1CE6"/>
    <w:rsid w:val="000C22D6"/>
    <w:rsid w:val="000C4DA2"/>
    <w:rsid w:val="000C4F23"/>
    <w:rsid w:val="000C6C18"/>
    <w:rsid w:val="000C6E43"/>
    <w:rsid w:val="000C7669"/>
    <w:rsid w:val="000D14FA"/>
    <w:rsid w:val="000D2BAD"/>
    <w:rsid w:val="000D3511"/>
    <w:rsid w:val="000D7450"/>
    <w:rsid w:val="000D7A23"/>
    <w:rsid w:val="000E1643"/>
    <w:rsid w:val="000E2202"/>
    <w:rsid w:val="000E3558"/>
    <w:rsid w:val="000E62BB"/>
    <w:rsid w:val="000E7A30"/>
    <w:rsid w:val="000F09F6"/>
    <w:rsid w:val="000F0E74"/>
    <w:rsid w:val="000F1669"/>
    <w:rsid w:val="000F2315"/>
    <w:rsid w:val="000F24B0"/>
    <w:rsid w:val="000F3739"/>
    <w:rsid w:val="000F3E87"/>
    <w:rsid w:val="000F7923"/>
    <w:rsid w:val="001002E6"/>
    <w:rsid w:val="00104AA4"/>
    <w:rsid w:val="00104E89"/>
    <w:rsid w:val="00105002"/>
    <w:rsid w:val="00105AA2"/>
    <w:rsid w:val="00105F02"/>
    <w:rsid w:val="0011109B"/>
    <w:rsid w:val="00112889"/>
    <w:rsid w:val="00114253"/>
    <w:rsid w:val="001151AA"/>
    <w:rsid w:val="001203DB"/>
    <w:rsid w:val="00123919"/>
    <w:rsid w:val="0012499A"/>
    <w:rsid w:val="00125EEE"/>
    <w:rsid w:val="00125F69"/>
    <w:rsid w:val="00126DA9"/>
    <w:rsid w:val="00127437"/>
    <w:rsid w:val="001327A8"/>
    <w:rsid w:val="001327EF"/>
    <w:rsid w:val="00132E3D"/>
    <w:rsid w:val="0013371F"/>
    <w:rsid w:val="00133CD3"/>
    <w:rsid w:val="001348C3"/>
    <w:rsid w:val="00136423"/>
    <w:rsid w:val="00136502"/>
    <w:rsid w:val="001367F4"/>
    <w:rsid w:val="00137581"/>
    <w:rsid w:val="001420F8"/>
    <w:rsid w:val="0014373F"/>
    <w:rsid w:val="00143A63"/>
    <w:rsid w:val="00144485"/>
    <w:rsid w:val="00144E44"/>
    <w:rsid w:val="00144F92"/>
    <w:rsid w:val="0015288E"/>
    <w:rsid w:val="00153CB8"/>
    <w:rsid w:val="001564F4"/>
    <w:rsid w:val="00157362"/>
    <w:rsid w:val="001615FF"/>
    <w:rsid w:val="001640E0"/>
    <w:rsid w:val="00167C6A"/>
    <w:rsid w:val="001715B3"/>
    <w:rsid w:val="00171E06"/>
    <w:rsid w:val="0017250F"/>
    <w:rsid w:val="00172A79"/>
    <w:rsid w:val="00173F69"/>
    <w:rsid w:val="00174E90"/>
    <w:rsid w:val="00175FBB"/>
    <w:rsid w:val="001773A0"/>
    <w:rsid w:val="001802AD"/>
    <w:rsid w:val="00181848"/>
    <w:rsid w:val="00181D1E"/>
    <w:rsid w:val="00186999"/>
    <w:rsid w:val="00190EA4"/>
    <w:rsid w:val="00191324"/>
    <w:rsid w:val="001915ED"/>
    <w:rsid w:val="00191CA3"/>
    <w:rsid w:val="0019208C"/>
    <w:rsid w:val="001931E0"/>
    <w:rsid w:val="00193FC5"/>
    <w:rsid w:val="00195956"/>
    <w:rsid w:val="00195B4C"/>
    <w:rsid w:val="00195D35"/>
    <w:rsid w:val="00195D3A"/>
    <w:rsid w:val="00195ECC"/>
    <w:rsid w:val="0019666E"/>
    <w:rsid w:val="00197B1E"/>
    <w:rsid w:val="00197EC9"/>
    <w:rsid w:val="001A0923"/>
    <w:rsid w:val="001A0DFF"/>
    <w:rsid w:val="001A294F"/>
    <w:rsid w:val="001A39E1"/>
    <w:rsid w:val="001A4202"/>
    <w:rsid w:val="001A52E1"/>
    <w:rsid w:val="001A54D4"/>
    <w:rsid w:val="001A5F1F"/>
    <w:rsid w:val="001A76E9"/>
    <w:rsid w:val="001A79BD"/>
    <w:rsid w:val="001B0D9A"/>
    <w:rsid w:val="001B31C3"/>
    <w:rsid w:val="001B3EE2"/>
    <w:rsid w:val="001B464E"/>
    <w:rsid w:val="001B4877"/>
    <w:rsid w:val="001B56DC"/>
    <w:rsid w:val="001B7DBD"/>
    <w:rsid w:val="001C1247"/>
    <w:rsid w:val="001C2523"/>
    <w:rsid w:val="001C36F1"/>
    <w:rsid w:val="001C481B"/>
    <w:rsid w:val="001C4DF3"/>
    <w:rsid w:val="001C5414"/>
    <w:rsid w:val="001C6C02"/>
    <w:rsid w:val="001C7907"/>
    <w:rsid w:val="001C7A8A"/>
    <w:rsid w:val="001C7C3C"/>
    <w:rsid w:val="001D2BDE"/>
    <w:rsid w:val="001D40CE"/>
    <w:rsid w:val="001D47CB"/>
    <w:rsid w:val="001D5DB8"/>
    <w:rsid w:val="001D7CF2"/>
    <w:rsid w:val="001E069B"/>
    <w:rsid w:val="001E15C6"/>
    <w:rsid w:val="001E32B1"/>
    <w:rsid w:val="001E3BA2"/>
    <w:rsid w:val="001E41D8"/>
    <w:rsid w:val="001E6603"/>
    <w:rsid w:val="001E6ABA"/>
    <w:rsid w:val="001E7280"/>
    <w:rsid w:val="001E778C"/>
    <w:rsid w:val="001F3EAB"/>
    <w:rsid w:val="001F6A91"/>
    <w:rsid w:val="001F75B9"/>
    <w:rsid w:val="002008CA"/>
    <w:rsid w:val="00202974"/>
    <w:rsid w:val="00202A2C"/>
    <w:rsid w:val="002043C5"/>
    <w:rsid w:val="00204845"/>
    <w:rsid w:val="002106E6"/>
    <w:rsid w:val="00211B20"/>
    <w:rsid w:val="0021284D"/>
    <w:rsid w:val="00212F75"/>
    <w:rsid w:val="00213220"/>
    <w:rsid w:val="0021407B"/>
    <w:rsid w:val="00214084"/>
    <w:rsid w:val="00214473"/>
    <w:rsid w:val="00214AFA"/>
    <w:rsid w:val="00215572"/>
    <w:rsid w:val="00220243"/>
    <w:rsid w:val="002203B8"/>
    <w:rsid w:val="00220EE0"/>
    <w:rsid w:val="00221A25"/>
    <w:rsid w:val="00222425"/>
    <w:rsid w:val="00223C37"/>
    <w:rsid w:val="00227FB2"/>
    <w:rsid w:val="0023047C"/>
    <w:rsid w:val="0023279D"/>
    <w:rsid w:val="002336E1"/>
    <w:rsid w:val="00233C07"/>
    <w:rsid w:val="0023475F"/>
    <w:rsid w:val="002401BD"/>
    <w:rsid w:val="002448D4"/>
    <w:rsid w:val="00244DCF"/>
    <w:rsid w:val="00250999"/>
    <w:rsid w:val="00250D41"/>
    <w:rsid w:val="00250EBB"/>
    <w:rsid w:val="00252CEC"/>
    <w:rsid w:val="002545BC"/>
    <w:rsid w:val="00254CC0"/>
    <w:rsid w:val="0025530F"/>
    <w:rsid w:val="0025540C"/>
    <w:rsid w:val="0025582D"/>
    <w:rsid w:val="00255CB3"/>
    <w:rsid w:val="002562B3"/>
    <w:rsid w:val="002570F4"/>
    <w:rsid w:val="00261631"/>
    <w:rsid w:val="0026163B"/>
    <w:rsid w:val="00263205"/>
    <w:rsid w:val="00263337"/>
    <w:rsid w:val="00264081"/>
    <w:rsid w:val="00265244"/>
    <w:rsid w:val="002671A4"/>
    <w:rsid w:val="002725D0"/>
    <w:rsid w:val="002731C8"/>
    <w:rsid w:val="002756EC"/>
    <w:rsid w:val="00280400"/>
    <w:rsid w:val="002804A0"/>
    <w:rsid w:val="002808CE"/>
    <w:rsid w:val="00280D79"/>
    <w:rsid w:val="00280E96"/>
    <w:rsid w:val="00284476"/>
    <w:rsid w:val="00284765"/>
    <w:rsid w:val="00284FEA"/>
    <w:rsid w:val="00287526"/>
    <w:rsid w:val="00287995"/>
    <w:rsid w:val="00290B2D"/>
    <w:rsid w:val="00290DF9"/>
    <w:rsid w:val="00291694"/>
    <w:rsid w:val="002928EB"/>
    <w:rsid w:val="0029310C"/>
    <w:rsid w:val="0029355E"/>
    <w:rsid w:val="002979DC"/>
    <w:rsid w:val="002A09FD"/>
    <w:rsid w:val="002A150A"/>
    <w:rsid w:val="002A2DD6"/>
    <w:rsid w:val="002A3F4E"/>
    <w:rsid w:val="002A5385"/>
    <w:rsid w:val="002A6191"/>
    <w:rsid w:val="002B06D8"/>
    <w:rsid w:val="002B17E6"/>
    <w:rsid w:val="002B2BAE"/>
    <w:rsid w:val="002B376B"/>
    <w:rsid w:val="002B4135"/>
    <w:rsid w:val="002B6E5B"/>
    <w:rsid w:val="002B7F0A"/>
    <w:rsid w:val="002C01EF"/>
    <w:rsid w:val="002C0E30"/>
    <w:rsid w:val="002C131F"/>
    <w:rsid w:val="002C2DD9"/>
    <w:rsid w:val="002C3F4F"/>
    <w:rsid w:val="002C40E7"/>
    <w:rsid w:val="002C4332"/>
    <w:rsid w:val="002C6205"/>
    <w:rsid w:val="002C6A70"/>
    <w:rsid w:val="002C7021"/>
    <w:rsid w:val="002C76F6"/>
    <w:rsid w:val="002D0234"/>
    <w:rsid w:val="002D02D2"/>
    <w:rsid w:val="002D1476"/>
    <w:rsid w:val="002D1A6F"/>
    <w:rsid w:val="002D1FDC"/>
    <w:rsid w:val="002D33E1"/>
    <w:rsid w:val="002D3874"/>
    <w:rsid w:val="002D4C6C"/>
    <w:rsid w:val="002D614A"/>
    <w:rsid w:val="002D627F"/>
    <w:rsid w:val="002D7750"/>
    <w:rsid w:val="002D7DBA"/>
    <w:rsid w:val="002E04CD"/>
    <w:rsid w:val="002E2436"/>
    <w:rsid w:val="002E32B9"/>
    <w:rsid w:val="002E5495"/>
    <w:rsid w:val="002E711D"/>
    <w:rsid w:val="002F1722"/>
    <w:rsid w:val="002F2350"/>
    <w:rsid w:val="002F33B7"/>
    <w:rsid w:val="002F3401"/>
    <w:rsid w:val="002F4A04"/>
    <w:rsid w:val="002F4B63"/>
    <w:rsid w:val="002F517F"/>
    <w:rsid w:val="002F57FD"/>
    <w:rsid w:val="002F5F7C"/>
    <w:rsid w:val="00301869"/>
    <w:rsid w:val="00302F1A"/>
    <w:rsid w:val="00303E64"/>
    <w:rsid w:val="003053CA"/>
    <w:rsid w:val="003101BF"/>
    <w:rsid w:val="003116EC"/>
    <w:rsid w:val="00311D3F"/>
    <w:rsid w:val="003164FA"/>
    <w:rsid w:val="00316FE7"/>
    <w:rsid w:val="00317277"/>
    <w:rsid w:val="00317418"/>
    <w:rsid w:val="00320F4B"/>
    <w:rsid w:val="00321747"/>
    <w:rsid w:val="00321DDB"/>
    <w:rsid w:val="003228FD"/>
    <w:rsid w:val="00324001"/>
    <w:rsid w:val="00324DD2"/>
    <w:rsid w:val="003259F9"/>
    <w:rsid w:val="00326C69"/>
    <w:rsid w:val="00327306"/>
    <w:rsid w:val="00330190"/>
    <w:rsid w:val="00330664"/>
    <w:rsid w:val="00331DAC"/>
    <w:rsid w:val="00331FE2"/>
    <w:rsid w:val="00332163"/>
    <w:rsid w:val="00332CBD"/>
    <w:rsid w:val="00332DE2"/>
    <w:rsid w:val="003333FF"/>
    <w:rsid w:val="00333E62"/>
    <w:rsid w:val="003349F9"/>
    <w:rsid w:val="00335C3A"/>
    <w:rsid w:val="003400BE"/>
    <w:rsid w:val="00342AE3"/>
    <w:rsid w:val="00346B5A"/>
    <w:rsid w:val="00347931"/>
    <w:rsid w:val="00351413"/>
    <w:rsid w:val="00351502"/>
    <w:rsid w:val="003523DD"/>
    <w:rsid w:val="00354CCF"/>
    <w:rsid w:val="00356290"/>
    <w:rsid w:val="00360975"/>
    <w:rsid w:val="003619DB"/>
    <w:rsid w:val="003628D1"/>
    <w:rsid w:val="00362D48"/>
    <w:rsid w:val="00362FEA"/>
    <w:rsid w:val="00363294"/>
    <w:rsid w:val="00363E11"/>
    <w:rsid w:val="003641E3"/>
    <w:rsid w:val="00364548"/>
    <w:rsid w:val="0036469C"/>
    <w:rsid w:val="00364A4A"/>
    <w:rsid w:val="003652BD"/>
    <w:rsid w:val="00365912"/>
    <w:rsid w:val="003703D0"/>
    <w:rsid w:val="0037327C"/>
    <w:rsid w:val="00373DEB"/>
    <w:rsid w:val="003760F8"/>
    <w:rsid w:val="00377632"/>
    <w:rsid w:val="003804DA"/>
    <w:rsid w:val="0038306A"/>
    <w:rsid w:val="003832D2"/>
    <w:rsid w:val="0038554C"/>
    <w:rsid w:val="003858CE"/>
    <w:rsid w:val="0038596E"/>
    <w:rsid w:val="00390BDA"/>
    <w:rsid w:val="00391229"/>
    <w:rsid w:val="00391EDB"/>
    <w:rsid w:val="003942F9"/>
    <w:rsid w:val="00394690"/>
    <w:rsid w:val="0039560B"/>
    <w:rsid w:val="003956C2"/>
    <w:rsid w:val="00395900"/>
    <w:rsid w:val="00396C93"/>
    <w:rsid w:val="00397049"/>
    <w:rsid w:val="00397902"/>
    <w:rsid w:val="00397A11"/>
    <w:rsid w:val="003A2D56"/>
    <w:rsid w:val="003A2DF1"/>
    <w:rsid w:val="003A4459"/>
    <w:rsid w:val="003A6270"/>
    <w:rsid w:val="003B0AB3"/>
    <w:rsid w:val="003B0D08"/>
    <w:rsid w:val="003B164B"/>
    <w:rsid w:val="003B20B2"/>
    <w:rsid w:val="003B70E0"/>
    <w:rsid w:val="003B7965"/>
    <w:rsid w:val="003B7EE8"/>
    <w:rsid w:val="003C1340"/>
    <w:rsid w:val="003C1B46"/>
    <w:rsid w:val="003C1FA9"/>
    <w:rsid w:val="003C57BB"/>
    <w:rsid w:val="003C6FFC"/>
    <w:rsid w:val="003C71CD"/>
    <w:rsid w:val="003D0D83"/>
    <w:rsid w:val="003D1707"/>
    <w:rsid w:val="003D39A5"/>
    <w:rsid w:val="003D4015"/>
    <w:rsid w:val="003D5014"/>
    <w:rsid w:val="003D7AF3"/>
    <w:rsid w:val="003E255D"/>
    <w:rsid w:val="003E33ED"/>
    <w:rsid w:val="003E38DD"/>
    <w:rsid w:val="003E3AEE"/>
    <w:rsid w:val="003E4058"/>
    <w:rsid w:val="003E43A4"/>
    <w:rsid w:val="003E4BE1"/>
    <w:rsid w:val="003E53B5"/>
    <w:rsid w:val="003E6FEC"/>
    <w:rsid w:val="003E7CAC"/>
    <w:rsid w:val="003F0331"/>
    <w:rsid w:val="003F0742"/>
    <w:rsid w:val="003F0BFE"/>
    <w:rsid w:val="003F1A85"/>
    <w:rsid w:val="003F3545"/>
    <w:rsid w:val="003F3EA2"/>
    <w:rsid w:val="003F4E05"/>
    <w:rsid w:val="003F538F"/>
    <w:rsid w:val="003F56E3"/>
    <w:rsid w:val="003F68B5"/>
    <w:rsid w:val="0040026F"/>
    <w:rsid w:val="00400993"/>
    <w:rsid w:val="00402BE0"/>
    <w:rsid w:val="00403B2C"/>
    <w:rsid w:val="00405008"/>
    <w:rsid w:val="00407C26"/>
    <w:rsid w:val="0041273F"/>
    <w:rsid w:val="00414F65"/>
    <w:rsid w:val="00416158"/>
    <w:rsid w:val="00416317"/>
    <w:rsid w:val="00416FE3"/>
    <w:rsid w:val="00417B8E"/>
    <w:rsid w:val="00421224"/>
    <w:rsid w:val="00425910"/>
    <w:rsid w:val="00425C25"/>
    <w:rsid w:val="00426A1C"/>
    <w:rsid w:val="00426C57"/>
    <w:rsid w:val="00427CCF"/>
    <w:rsid w:val="00427E43"/>
    <w:rsid w:val="00430844"/>
    <w:rsid w:val="00430A9E"/>
    <w:rsid w:val="00430B8A"/>
    <w:rsid w:val="00432F9D"/>
    <w:rsid w:val="00433B29"/>
    <w:rsid w:val="00435F81"/>
    <w:rsid w:val="00436DFF"/>
    <w:rsid w:val="0043738A"/>
    <w:rsid w:val="00440781"/>
    <w:rsid w:val="0044130C"/>
    <w:rsid w:val="0044221E"/>
    <w:rsid w:val="0044252B"/>
    <w:rsid w:val="00442829"/>
    <w:rsid w:val="00443B45"/>
    <w:rsid w:val="0044562E"/>
    <w:rsid w:val="0044674D"/>
    <w:rsid w:val="00446DF9"/>
    <w:rsid w:val="00451AE4"/>
    <w:rsid w:val="00452022"/>
    <w:rsid w:val="004539A2"/>
    <w:rsid w:val="00453B30"/>
    <w:rsid w:val="004548F9"/>
    <w:rsid w:val="004574A5"/>
    <w:rsid w:val="00457E12"/>
    <w:rsid w:val="0046028A"/>
    <w:rsid w:val="00460655"/>
    <w:rsid w:val="00460F03"/>
    <w:rsid w:val="00461599"/>
    <w:rsid w:val="00461842"/>
    <w:rsid w:val="00462386"/>
    <w:rsid w:val="004661A0"/>
    <w:rsid w:val="00466F5A"/>
    <w:rsid w:val="004757F8"/>
    <w:rsid w:val="0047640F"/>
    <w:rsid w:val="0047672F"/>
    <w:rsid w:val="00477229"/>
    <w:rsid w:val="00480509"/>
    <w:rsid w:val="004812EE"/>
    <w:rsid w:val="0048240B"/>
    <w:rsid w:val="0048332A"/>
    <w:rsid w:val="0048367E"/>
    <w:rsid w:val="00484219"/>
    <w:rsid w:val="00484259"/>
    <w:rsid w:val="00484F2C"/>
    <w:rsid w:val="00485FEE"/>
    <w:rsid w:val="00486E47"/>
    <w:rsid w:val="00487741"/>
    <w:rsid w:val="00490A52"/>
    <w:rsid w:val="00492204"/>
    <w:rsid w:val="00492C69"/>
    <w:rsid w:val="00496363"/>
    <w:rsid w:val="004A10FA"/>
    <w:rsid w:val="004A4021"/>
    <w:rsid w:val="004A4E2C"/>
    <w:rsid w:val="004A4E32"/>
    <w:rsid w:val="004B07FF"/>
    <w:rsid w:val="004B0B3C"/>
    <w:rsid w:val="004B15BD"/>
    <w:rsid w:val="004B6B79"/>
    <w:rsid w:val="004B7C40"/>
    <w:rsid w:val="004C11A9"/>
    <w:rsid w:val="004C1FA5"/>
    <w:rsid w:val="004C3E75"/>
    <w:rsid w:val="004C4A25"/>
    <w:rsid w:val="004C6BED"/>
    <w:rsid w:val="004C76E2"/>
    <w:rsid w:val="004C79C7"/>
    <w:rsid w:val="004D6371"/>
    <w:rsid w:val="004D78F4"/>
    <w:rsid w:val="004E007E"/>
    <w:rsid w:val="004E1272"/>
    <w:rsid w:val="004E4A6B"/>
    <w:rsid w:val="004E5E16"/>
    <w:rsid w:val="004E63E6"/>
    <w:rsid w:val="004E6710"/>
    <w:rsid w:val="004F0D4F"/>
    <w:rsid w:val="004F128B"/>
    <w:rsid w:val="004F142A"/>
    <w:rsid w:val="004F1FF4"/>
    <w:rsid w:val="004F3677"/>
    <w:rsid w:val="004F40E1"/>
    <w:rsid w:val="004F4CD7"/>
    <w:rsid w:val="005022BB"/>
    <w:rsid w:val="005027A6"/>
    <w:rsid w:val="005027E2"/>
    <w:rsid w:val="00505E5C"/>
    <w:rsid w:val="005064D1"/>
    <w:rsid w:val="005078D6"/>
    <w:rsid w:val="005108DF"/>
    <w:rsid w:val="00510D24"/>
    <w:rsid w:val="005114A8"/>
    <w:rsid w:val="00513877"/>
    <w:rsid w:val="00514C46"/>
    <w:rsid w:val="005175B3"/>
    <w:rsid w:val="00520E9F"/>
    <w:rsid w:val="005216BE"/>
    <w:rsid w:val="00523A4C"/>
    <w:rsid w:val="00523E10"/>
    <w:rsid w:val="0052708D"/>
    <w:rsid w:val="00527712"/>
    <w:rsid w:val="00530162"/>
    <w:rsid w:val="005301D1"/>
    <w:rsid w:val="00530D0D"/>
    <w:rsid w:val="00533126"/>
    <w:rsid w:val="00533541"/>
    <w:rsid w:val="005360F4"/>
    <w:rsid w:val="0053670B"/>
    <w:rsid w:val="00536C39"/>
    <w:rsid w:val="00537EEF"/>
    <w:rsid w:val="0054030F"/>
    <w:rsid w:val="0054037A"/>
    <w:rsid w:val="0054122B"/>
    <w:rsid w:val="005423A6"/>
    <w:rsid w:val="0054340C"/>
    <w:rsid w:val="005435DC"/>
    <w:rsid w:val="00546181"/>
    <w:rsid w:val="00546BCA"/>
    <w:rsid w:val="005476A0"/>
    <w:rsid w:val="00547741"/>
    <w:rsid w:val="00550DA6"/>
    <w:rsid w:val="00553025"/>
    <w:rsid w:val="00554A25"/>
    <w:rsid w:val="005559B3"/>
    <w:rsid w:val="00560524"/>
    <w:rsid w:val="005605B5"/>
    <w:rsid w:val="0056322C"/>
    <w:rsid w:val="00563AEC"/>
    <w:rsid w:val="00564B5E"/>
    <w:rsid w:val="00565A76"/>
    <w:rsid w:val="00567AB7"/>
    <w:rsid w:val="00567BE6"/>
    <w:rsid w:val="00567FEE"/>
    <w:rsid w:val="00570510"/>
    <w:rsid w:val="00574271"/>
    <w:rsid w:val="00580A7E"/>
    <w:rsid w:val="0058247C"/>
    <w:rsid w:val="00582E54"/>
    <w:rsid w:val="0058685C"/>
    <w:rsid w:val="005870C8"/>
    <w:rsid w:val="00590D6A"/>
    <w:rsid w:val="00591C95"/>
    <w:rsid w:val="005924FE"/>
    <w:rsid w:val="00592727"/>
    <w:rsid w:val="0059301A"/>
    <w:rsid w:val="00593479"/>
    <w:rsid w:val="005A1250"/>
    <w:rsid w:val="005A13DC"/>
    <w:rsid w:val="005A1889"/>
    <w:rsid w:val="005A1BBB"/>
    <w:rsid w:val="005A1CE7"/>
    <w:rsid w:val="005A33A9"/>
    <w:rsid w:val="005A3B88"/>
    <w:rsid w:val="005A7103"/>
    <w:rsid w:val="005A731D"/>
    <w:rsid w:val="005B0613"/>
    <w:rsid w:val="005B609E"/>
    <w:rsid w:val="005B6F0F"/>
    <w:rsid w:val="005C03F7"/>
    <w:rsid w:val="005C1E7E"/>
    <w:rsid w:val="005C4B99"/>
    <w:rsid w:val="005C57F2"/>
    <w:rsid w:val="005D0D74"/>
    <w:rsid w:val="005D109C"/>
    <w:rsid w:val="005D139A"/>
    <w:rsid w:val="005D1BF9"/>
    <w:rsid w:val="005D2166"/>
    <w:rsid w:val="005D282D"/>
    <w:rsid w:val="005D37DA"/>
    <w:rsid w:val="005D3F6D"/>
    <w:rsid w:val="005D4A8B"/>
    <w:rsid w:val="005D62F2"/>
    <w:rsid w:val="005D7B3A"/>
    <w:rsid w:val="005D7B52"/>
    <w:rsid w:val="005E1090"/>
    <w:rsid w:val="005E2A9E"/>
    <w:rsid w:val="005E31C1"/>
    <w:rsid w:val="005E39A3"/>
    <w:rsid w:val="005E4072"/>
    <w:rsid w:val="005E4AAF"/>
    <w:rsid w:val="005E4B53"/>
    <w:rsid w:val="005F3473"/>
    <w:rsid w:val="005F3EE2"/>
    <w:rsid w:val="00602070"/>
    <w:rsid w:val="00602D4E"/>
    <w:rsid w:val="0060453F"/>
    <w:rsid w:val="00604C95"/>
    <w:rsid w:val="00604ECA"/>
    <w:rsid w:val="0060529E"/>
    <w:rsid w:val="00610C67"/>
    <w:rsid w:val="0061110C"/>
    <w:rsid w:val="006152F0"/>
    <w:rsid w:val="0061605B"/>
    <w:rsid w:val="00622B6A"/>
    <w:rsid w:val="00622E42"/>
    <w:rsid w:val="006268AD"/>
    <w:rsid w:val="00627A1A"/>
    <w:rsid w:val="00630D07"/>
    <w:rsid w:val="00631A58"/>
    <w:rsid w:val="00632F82"/>
    <w:rsid w:val="006336C8"/>
    <w:rsid w:val="0063377F"/>
    <w:rsid w:val="00634EC2"/>
    <w:rsid w:val="00635FC1"/>
    <w:rsid w:val="006367A3"/>
    <w:rsid w:val="00637DD8"/>
    <w:rsid w:val="0064178D"/>
    <w:rsid w:val="00641F4F"/>
    <w:rsid w:val="006452A0"/>
    <w:rsid w:val="0064582F"/>
    <w:rsid w:val="00645CF5"/>
    <w:rsid w:val="00646B76"/>
    <w:rsid w:val="00650726"/>
    <w:rsid w:val="00650A07"/>
    <w:rsid w:val="0065106E"/>
    <w:rsid w:val="006529FC"/>
    <w:rsid w:val="00652A9A"/>
    <w:rsid w:val="00652C12"/>
    <w:rsid w:val="00653B14"/>
    <w:rsid w:val="00654E0A"/>
    <w:rsid w:val="00654FC9"/>
    <w:rsid w:val="00655EA8"/>
    <w:rsid w:val="00656B68"/>
    <w:rsid w:val="00663265"/>
    <w:rsid w:val="00664348"/>
    <w:rsid w:val="006662A8"/>
    <w:rsid w:val="006704E5"/>
    <w:rsid w:val="00670A6E"/>
    <w:rsid w:val="00671D8F"/>
    <w:rsid w:val="00672198"/>
    <w:rsid w:val="00673CB8"/>
    <w:rsid w:val="0067408B"/>
    <w:rsid w:val="0067422C"/>
    <w:rsid w:val="00677277"/>
    <w:rsid w:val="00677BD6"/>
    <w:rsid w:val="00683625"/>
    <w:rsid w:val="00684CA9"/>
    <w:rsid w:val="006850D5"/>
    <w:rsid w:val="0068598F"/>
    <w:rsid w:val="00685D89"/>
    <w:rsid w:val="00687987"/>
    <w:rsid w:val="00687C03"/>
    <w:rsid w:val="006938EF"/>
    <w:rsid w:val="0069451C"/>
    <w:rsid w:val="0069456A"/>
    <w:rsid w:val="00697285"/>
    <w:rsid w:val="00697772"/>
    <w:rsid w:val="006A2EAA"/>
    <w:rsid w:val="006A3023"/>
    <w:rsid w:val="006A5B35"/>
    <w:rsid w:val="006A5D21"/>
    <w:rsid w:val="006A6633"/>
    <w:rsid w:val="006A6EEC"/>
    <w:rsid w:val="006A71EE"/>
    <w:rsid w:val="006B0105"/>
    <w:rsid w:val="006B015F"/>
    <w:rsid w:val="006B19F0"/>
    <w:rsid w:val="006B2B5B"/>
    <w:rsid w:val="006B30BF"/>
    <w:rsid w:val="006B4499"/>
    <w:rsid w:val="006B52B5"/>
    <w:rsid w:val="006B55C7"/>
    <w:rsid w:val="006B6980"/>
    <w:rsid w:val="006B7DB4"/>
    <w:rsid w:val="006C1813"/>
    <w:rsid w:val="006C21E2"/>
    <w:rsid w:val="006C52AB"/>
    <w:rsid w:val="006C5C73"/>
    <w:rsid w:val="006C67C4"/>
    <w:rsid w:val="006C797F"/>
    <w:rsid w:val="006D1E19"/>
    <w:rsid w:val="006D38E8"/>
    <w:rsid w:val="006D41CE"/>
    <w:rsid w:val="006D44B7"/>
    <w:rsid w:val="006D506E"/>
    <w:rsid w:val="006D5551"/>
    <w:rsid w:val="006D75FF"/>
    <w:rsid w:val="006E07BB"/>
    <w:rsid w:val="006E1189"/>
    <w:rsid w:val="006E14A8"/>
    <w:rsid w:val="006E1FAF"/>
    <w:rsid w:val="006E56EF"/>
    <w:rsid w:val="006E6558"/>
    <w:rsid w:val="006E6E0A"/>
    <w:rsid w:val="006F0E5B"/>
    <w:rsid w:val="006F0FA6"/>
    <w:rsid w:val="006F2286"/>
    <w:rsid w:val="006F25BA"/>
    <w:rsid w:val="006F3DDB"/>
    <w:rsid w:val="006F41E7"/>
    <w:rsid w:val="006F64D1"/>
    <w:rsid w:val="006F757F"/>
    <w:rsid w:val="006F7701"/>
    <w:rsid w:val="00701C0E"/>
    <w:rsid w:val="00703AB4"/>
    <w:rsid w:val="0070455B"/>
    <w:rsid w:val="0070761C"/>
    <w:rsid w:val="00710312"/>
    <w:rsid w:val="00710EE1"/>
    <w:rsid w:val="00711AC4"/>
    <w:rsid w:val="00712EEA"/>
    <w:rsid w:val="0071531C"/>
    <w:rsid w:val="007155C4"/>
    <w:rsid w:val="00716353"/>
    <w:rsid w:val="0072273C"/>
    <w:rsid w:val="007229ED"/>
    <w:rsid w:val="00722A79"/>
    <w:rsid w:val="00724508"/>
    <w:rsid w:val="00725890"/>
    <w:rsid w:val="007278D1"/>
    <w:rsid w:val="00730072"/>
    <w:rsid w:val="00732466"/>
    <w:rsid w:val="00733125"/>
    <w:rsid w:val="0073389B"/>
    <w:rsid w:val="00735980"/>
    <w:rsid w:val="00736018"/>
    <w:rsid w:val="00736C36"/>
    <w:rsid w:val="00741033"/>
    <w:rsid w:val="0074126C"/>
    <w:rsid w:val="007416E2"/>
    <w:rsid w:val="00743A56"/>
    <w:rsid w:val="00744F0F"/>
    <w:rsid w:val="007478C8"/>
    <w:rsid w:val="007515C7"/>
    <w:rsid w:val="00752114"/>
    <w:rsid w:val="00752E9B"/>
    <w:rsid w:val="007533DF"/>
    <w:rsid w:val="007557A0"/>
    <w:rsid w:val="00755DFB"/>
    <w:rsid w:val="007561D5"/>
    <w:rsid w:val="0075631D"/>
    <w:rsid w:val="00760AF6"/>
    <w:rsid w:val="007627B2"/>
    <w:rsid w:val="00762A8F"/>
    <w:rsid w:val="00767749"/>
    <w:rsid w:val="00771720"/>
    <w:rsid w:val="007729F4"/>
    <w:rsid w:val="00772A5F"/>
    <w:rsid w:val="00772E86"/>
    <w:rsid w:val="00775668"/>
    <w:rsid w:val="0077581E"/>
    <w:rsid w:val="00776502"/>
    <w:rsid w:val="007779AE"/>
    <w:rsid w:val="00780782"/>
    <w:rsid w:val="007827D7"/>
    <w:rsid w:val="00784028"/>
    <w:rsid w:val="0078415E"/>
    <w:rsid w:val="007854A0"/>
    <w:rsid w:val="00786828"/>
    <w:rsid w:val="00786B1F"/>
    <w:rsid w:val="00786DE7"/>
    <w:rsid w:val="00786ECE"/>
    <w:rsid w:val="0078761A"/>
    <w:rsid w:val="00787B42"/>
    <w:rsid w:val="0079000C"/>
    <w:rsid w:val="007909B9"/>
    <w:rsid w:val="00790F50"/>
    <w:rsid w:val="007933CB"/>
    <w:rsid w:val="007941EB"/>
    <w:rsid w:val="00794DDE"/>
    <w:rsid w:val="007966DA"/>
    <w:rsid w:val="00796CD0"/>
    <w:rsid w:val="007979A3"/>
    <w:rsid w:val="007A282B"/>
    <w:rsid w:val="007A3B6E"/>
    <w:rsid w:val="007A4724"/>
    <w:rsid w:val="007A555D"/>
    <w:rsid w:val="007A5871"/>
    <w:rsid w:val="007B0269"/>
    <w:rsid w:val="007B0E3D"/>
    <w:rsid w:val="007B1510"/>
    <w:rsid w:val="007B2473"/>
    <w:rsid w:val="007B2CA6"/>
    <w:rsid w:val="007C0A5B"/>
    <w:rsid w:val="007C26E5"/>
    <w:rsid w:val="007D3034"/>
    <w:rsid w:val="007E2F79"/>
    <w:rsid w:val="007E3DDB"/>
    <w:rsid w:val="007E3F5D"/>
    <w:rsid w:val="007E5530"/>
    <w:rsid w:val="007E69A1"/>
    <w:rsid w:val="007E6CE7"/>
    <w:rsid w:val="007F2788"/>
    <w:rsid w:val="007F2F53"/>
    <w:rsid w:val="007F35E5"/>
    <w:rsid w:val="007F5943"/>
    <w:rsid w:val="007F6643"/>
    <w:rsid w:val="007F697C"/>
    <w:rsid w:val="007F7AE7"/>
    <w:rsid w:val="008005A4"/>
    <w:rsid w:val="00800D6C"/>
    <w:rsid w:val="008045FC"/>
    <w:rsid w:val="008056CF"/>
    <w:rsid w:val="00806FCC"/>
    <w:rsid w:val="008101E9"/>
    <w:rsid w:val="00811B9D"/>
    <w:rsid w:val="00813C52"/>
    <w:rsid w:val="0081442D"/>
    <w:rsid w:val="00814595"/>
    <w:rsid w:val="00814A72"/>
    <w:rsid w:val="00815677"/>
    <w:rsid w:val="008160A8"/>
    <w:rsid w:val="008163C1"/>
    <w:rsid w:val="008215F9"/>
    <w:rsid w:val="00821643"/>
    <w:rsid w:val="008218F9"/>
    <w:rsid w:val="00823836"/>
    <w:rsid w:val="00823B00"/>
    <w:rsid w:val="008300D9"/>
    <w:rsid w:val="00830C2F"/>
    <w:rsid w:val="00831527"/>
    <w:rsid w:val="008317DB"/>
    <w:rsid w:val="00832A1C"/>
    <w:rsid w:val="00833DEC"/>
    <w:rsid w:val="00834878"/>
    <w:rsid w:val="008350AF"/>
    <w:rsid w:val="008351D9"/>
    <w:rsid w:val="00837153"/>
    <w:rsid w:val="00837212"/>
    <w:rsid w:val="008416D9"/>
    <w:rsid w:val="0084212F"/>
    <w:rsid w:val="00842457"/>
    <w:rsid w:val="008436D1"/>
    <w:rsid w:val="0084372D"/>
    <w:rsid w:val="00844303"/>
    <w:rsid w:val="008454AE"/>
    <w:rsid w:val="00845F97"/>
    <w:rsid w:val="008461C3"/>
    <w:rsid w:val="008465B9"/>
    <w:rsid w:val="00846EBD"/>
    <w:rsid w:val="00850412"/>
    <w:rsid w:val="008523C7"/>
    <w:rsid w:val="008532F1"/>
    <w:rsid w:val="00853332"/>
    <w:rsid w:val="00856B1E"/>
    <w:rsid w:val="00856EB0"/>
    <w:rsid w:val="00861274"/>
    <w:rsid w:val="0086156F"/>
    <w:rsid w:val="00865D57"/>
    <w:rsid w:val="008669C2"/>
    <w:rsid w:val="0087082B"/>
    <w:rsid w:val="00870BCA"/>
    <w:rsid w:val="0087358D"/>
    <w:rsid w:val="00873B24"/>
    <w:rsid w:val="008741A0"/>
    <w:rsid w:val="00877E9D"/>
    <w:rsid w:val="00877FA6"/>
    <w:rsid w:val="008805FF"/>
    <w:rsid w:val="00881717"/>
    <w:rsid w:val="00882914"/>
    <w:rsid w:val="0088336D"/>
    <w:rsid w:val="008858B7"/>
    <w:rsid w:val="008877A6"/>
    <w:rsid w:val="008879DE"/>
    <w:rsid w:val="008915CF"/>
    <w:rsid w:val="008917F0"/>
    <w:rsid w:val="008957AC"/>
    <w:rsid w:val="00895D4F"/>
    <w:rsid w:val="00897064"/>
    <w:rsid w:val="008A198E"/>
    <w:rsid w:val="008A2AB2"/>
    <w:rsid w:val="008A2D35"/>
    <w:rsid w:val="008A3ADB"/>
    <w:rsid w:val="008A3E28"/>
    <w:rsid w:val="008A3F76"/>
    <w:rsid w:val="008A40D1"/>
    <w:rsid w:val="008A49EC"/>
    <w:rsid w:val="008A684C"/>
    <w:rsid w:val="008B02BA"/>
    <w:rsid w:val="008B1D81"/>
    <w:rsid w:val="008B2083"/>
    <w:rsid w:val="008C0688"/>
    <w:rsid w:val="008C14ED"/>
    <w:rsid w:val="008C2C69"/>
    <w:rsid w:val="008C3DBE"/>
    <w:rsid w:val="008C65D4"/>
    <w:rsid w:val="008C685A"/>
    <w:rsid w:val="008C70C6"/>
    <w:rsid w:val="008D046F"/>
    <w:rsid w:val="008D2FBC"/>
    <w:rsid w:val="008D52E8"/>
    <w:rsid w:val="008D5E86"/>
    <w:rsid w:val="008E0157"/>
    <w:rsid w:val="008E0468"/>
    <w:rsid w:val="008E27AA"/>
    <w:rsid w:val="008E3BFF"/>
    <w:rsid w:val="008E4FED"/>
    <w:rsid w:val="008E664C"/>
    <w:rsid w:val="008E68E5"/>
    <w:rsid w:val="008E7202"/>
    <w:rsid w:val="008F0628"/>
    <w:rsid w:val="008F0E3D"/>
    <w:rsid w:val="008F0EF0"/>
    <w:rsid w:val="008F3FFD"/>
    <w:rsid w:val="008F5093"/>
    <w:rsid w:val="008F5963"/>
    <w:rsid w:val="008F6132"/>
    <w:rsid w:val="008F63FD"/>
    <w:rsid w:val="00900033"/>
    <w:rsid w:val="00901353"/>
    <w:rsid w:val="0090165B"/>
    <w:rsid w:val="00903138"/>
    <w:rsid w:val="00904C9F"/>
    <w:rsid w:val="00907508"/>
    <w:rsid w:val="009078DB"/>
    <w:rsid w:val="00910AA8"/>
    <w:rsid w:val="009117E1"/>
    <w:rsid w:val="00915D64"/>
    <w:rsid w:val="009168B7"/>
    <w:rsid w:val="009201A5"/>
    <w:rsid w:val="00921F01"/>
    <w:rsid w:val="0092429F"/>
    <w:rsid w:val="00924A08"/>
    <w:rsid w:val="009252B9"/>
    <w:rsid w:val="00925BC1"/>
    <w:rsid w:val="00925E23"/>
    <w:rsid w:val="0092638D"/>
    <w:rsid w:val="009304DD"/>
    <w:rsid w:val="00931366"/>
    <w:rsid w:val="009326F3"/>
    <w:rsid w:val="009346FE"/>
    <w:rsid w:val="009351A1"/>
    <w:rsid w:val="00935563"/>
    <w:rsid w:val="00937217"/>
    <w:rsid w:val="00937331"/>
    <w:rsid w:val="0094029D"/>
    <w:rsid w:val="00940D15"/>
    <w:rsid w:val="009410FD"/>
    <w:rsid w:val="00941475"/>
    <w:rsid w:val="00941A3D"/>
    <w:rsid w:val="00941AC6"/>
    <w:rsid w:val="0094311C"/>
    <w:rsid w:val="00946DC6"/>
    <w:rsid w:val="00946DE4"/>
    <w:rsid w:val="0095154C"/>
    <w:rsid w:val="009516B8"/>
    <w:rsid w:val="0095418C"/>
    <w:rsid w:val="00957560"/>
    <w:rsid w:val="009576EF"/>
    <w:rsid w:val="00957AD9"/>
    <w:rsid w:val="00960628"/>
    <w:rsid w:val="0096142C"/>
    <w:rsid w:val="00963954"/>
    <w:rsid w:val="0096662C"/>
    <w:rsid w:val="00966C63"/>
    <w:rsid w:val="00967F2E"/>
    <w:rsid w:val="00972D08"/>
    <w:rsid w:val="00975FB1"/>
    <w:rsid w:val="009766A6"/>
    <w:rsid w:val="0097725A"/>
    <w:rsid w:val="00977BFB"/>
    <w:rsid w:val="00977FF8"/>
    <w:rsid w:val="009802D4"/>
    <w:rsid w:val="009818F2"/>
    <w:rsid w:val="009855FF"/>
    <w:rsid w:val="009869D3"/>
    <w:rsid w:val="0098712C"/>
    <w:rsid w:val="00990358"/>
    <w:rsid w:val="00992ECC"/>
    <w:rsid w:val="009942EF"/>
    <w:rsid w:val="009959BE"/>
    <w:rsid w:val="00997A20"/>
    <w:rsid w:val="00997E8A"/>
    <w:rsid w:val="009A01FE"/>
    <w:rsid w:val="009A14C0"/>
    <w:rsid w:val="009A380C"/>
    <w:rsid w:val="009A3C0C"/>
    <w:rsid w:val="009A55FF"/>
    <w:rsid w:val="009A6069"/>
    <w:rsid w:val="009A78A6"/>
    <w:rsid w:val="009B17F1"/>
    <w:rsid w:val="009B1B75"/>
    <w:rsid w:val="009B44CC"/>
    <w:rsid w:val="009B7034"/>
    <w:rsid w:val="009B7ADD"/>
    <w:rsid w:val="009C38EC"/>
    <w:rsid w:val="009C46DC"/>
    <w:rsid w:val="009C673E"/>
    <w:rsid w:val="009C6C2A"/>
    <w:rsid w:val="009D0954"/>
    <w:rsid w:val="009D1EC5"/>
    <w:rsid w:val="009D2336"/>
    <w:rsid w:val="009D6C32"/>
    <w:rsid w:val="009E0F0A"/>
    <w:rsid w:val="009E3CFA"/>
    <w:rsid w:val="009E6163"/>
    <w:rsid w:val="009F123C"/>
    <w:rsid w:val="009F2DEB"/>
    <w:rsid w:val="009F428A"/>
    <w:rsid w:val="009F4EAF"/>
    <w:rsid w:val="009F7A75"/>
    <w:rsid w:val="00A01C18"/>
    <w:rsid w:val="00A01EA6"/>
    <w:rsid w:val="00A03A22"/>
    <w:rsid w:val="00A03F98"/>
    <w:rsid w:val="00A04B4C"/>
    <w:rsid w:val="00A10217"/>
    <w:rsid w:val="00A10D87"/>
    <w:rsid w:val="00A11C55"/>
    <w:rsid w:val="00A13A8F"/>
    <w:rsid w:val="00A161C2"/>
    <w:rsid w:val="00A173C8"/>
    <w:rsid w:val="00A17559"/>
    <w:rsid w:val="00A1758B"/>
    <w:rsid w:val="00A21389"/>
    <w:rsid w:val="00A216B5"/>
    <w:rsid w:val="00A2257F"/>
    <w:rsid w:val="00A22A5B"/>
    <w:rsid w:val="00A22FB1"/>
    <w:rsid w:val="00A23CAB"/>
    <w:rsid w:val="00A24EAA"/>
    <w:rsid w:val="00A26032"/>
    <w:rsid w:val="00A262A9"/>
    <w:rsid w:val="00A2668B"/>
    <w:rsid w:val="00A34127"/>
    <w:rsid w:val="00A344C7"/>
    <w:rsid w:val="00A36F6B"/>
    <w:rsid w:val="00A4004D"/>
    <w:rsid w:val="00A407AD"/>
    <w:rsid w:val="00A43500"/>
    <w:rsid w:val="00A43D92"/>
    <w:rsid w:val="00A46B16"/>
    <w:rsid w:val="00A47167"/>
    <w:rsid w:val="00A4768D"/>
    <w:rsid w:val="00A478A6"/>
    <w:rsid w:val="00A519D9"/>
    <w:rsid w:val="00A520F2"/>
    <w:rsid w:val="00A52486"/>
    <w:rsid w:val="00A52BFD"/>
    <w:rsid w:val="00A53095"/>
    <w:rsid w:val="00A54897"/>
    <w:rsid w:val="00A54ADA"/>
    <w:rsid w:val="00A57543"/>
    <w:rsid w:val="00A57828"/>
    <w:rsid w:val="00A57CD7"/>
    <w:rsid w:val="00A60B24"/>
    <w:rsid w:val="00A63D57"/>
    <w:rsid w:val="00A65816"/>
    <w:rsid w:val="00A70C08"/>
    <w:rsid w:val="00A71D9D"/>
    <w:rsid w:val="00A745FF"/>
    <w:rsid w:val="00A7524A"/>
    <w:rsid w:val="00A7566F"/>
    <w:rsid w:val="00A779F1"/>
    <w:rsid w:val="00A82BFC"/>
    <w:rsid w:val="00A83AA3"/>
    <w:rsid w:val="00A84F61"/>
    <w:rsid w:val="00A8589F"/>
    <w:rsid w:val="00A859A9"/>
    <w:rsid w:val="00A85BA7"/>
    <w:rsid w:val="00A85CFB"/>
    <w:rsid w:val="00A86D12"/>
    <w:rsid w:val="00A8734D"/>
    <w:rsid w:val="00A913C3"/>
    <w:rsid w:val="00A914AD"/>
    <w:rsid w:val="00A93202"/>
    <w:rsid w:val="00A93731"/>
    <w:rsid w:val="00A946D4"/>
    <w:rsid w:val="00A960F5"/>
    <w:rsid w:val="00A96B29"/>
    <w:rsid w:val="00AA0EA5"/>
    <w:rsid w:val="00AA35E2"/>
    <w:rsid w:val="00AA3B3E"/>
    <w:rsid w:val="00AA579D"/>
    <w:rsid w:val="00AA7883"/>
    <w:rsid w:val="00AB07DC"/>
    <w:rsid w:val="00AB28C9"/>
    <w:rsid w:val="00AB3EA3"/>
    <w:rsid w:val="00AB423B"/>
    <w:rsid w:val="00AB423F"/>
    <w:rsid w:val="00AB6B35"/>
    <w:rsid w:val="00AB7CDB"/>
    <w:rsid w:val="00AC0CDE"/>
    <w:rsid w:val="00AC202A"/>
    <w:rsid w:val="00AC26A4"/>
    <w:rsid w:val="00AC2935"/>
    <w:rsid w:val="00AC34D2"/>
    <w:rsid w:val="00AC3AC1"/>
    <w:rsid w:val="00AC3B28"/>
    <w:rsid w:val="00AC4B19"/>
    <w:rsid w:val="00AC6F0B"/>
    <w:rsid w:val="00AD0A9C"/>
    <w:rsid w:val="00AD1A2D"/>
    <w:rsid w:val="00AD2010"/>
    <w:rsid w:val="00AD21AA"/>
    <w:rsid w:val="00AD5606"/>
    <w:rsid w:val="00AD580B"/>
    <w:rsid w:val="00AD609B"/>
    <w:rsid w:val="00AD63D0"/>
    <w:rsid w:val="00AD6E06"/>
    <w:rsid w:val="00AE07E3"/>
    <w:rsid w:val="00AE0981"/>
    <w:rsid w:val="00AE108C"/>
    <w:rsid w:val="00AE176A"/>
    <w:rsid w:val="00AE2848"/>
    <w:rsid w:val="00AE2FFC"/>
    <w:rsid w:val="00AE45EF"/>
    <w:rsid w:val="00AE5836"/>
    <w:rsid w:val="00AE5D2D"/>
    <w:rsid w:val="00AF1781"/>
    <w:rsid w:val="00AF1C64"/>
    <w:rsid w:val="00AF25D8"/>
    <w:rsid w:val="00AF4B62"/>
    <w:rsid w:val="00AF500C"/>
    <w:rsid w:val="00AF61E7"/>
    <w:rsid w:val="00AF6D79"/>
    <w:rsid w:val="00B0031C"/>
    <w:rsid w:val="00B0062B"/>
    <w:rsid w:val="00B01A0E"/>
    <w:rsid w:val="00B037CC"/>
    <w:rsid w:val="00B044FC"/>
    <w:rsid w:val="00B04FEF"/>
    <w:rsid w:val="00B05A81"/>
    <w:rsid w:val="00B06002"/>
    <w:rsid w:val="00B0626B"/>
    <w:rsid w:val="00B107C0"/>
    <w:rsid w:val="00B111C0"/>
    <w:rsid w:val="00B1242A"/>
    <w:rsid w:val="00B1453F"/>
    <w:rsid w:val="00B15F5F"/>
    <w:rsid w:val="00B21240"/>
    <w:rsid w:val="00B216F0"/>
    <w:rsid w:val="00B21921"/>
    <w:rsid w:val="00B23161"/>
    <w:rsid w:val="00B239E9"/>
    <w:rsid w:val="00B254EB"/>
    <w:rsid w:val="00B25A05"/>
    <w:rsid w:val="00B2608F"/>
    <w:rsid w:val="00B26443"/>
    <w:rsid w:val="00B266F9"/>
    <w:rsid w:val="00B3175F"/>
    <w:rsid w:val="00B31BA1"/>
    <w:rsid w:val="00B33C40"/>
    <w:rsid w:val="00B33CE1"/>
    <w:rsid w:val="00B354E7"/>
    <w:rsid w:val="00B35B53"/>
    <w:rsid w:val="00B363E8"/>
    <w:rsid w:val="00B36987"/>
    <w:rsid w:val="00B37937"/>
    <w:rsid w:val="00B37AF1"/>
    <w:rsid w:val="00B414AA"/>
    <w:rsid w:val="00B418A0"/>
    <w:rsid w:val="00B43595"/>
    <w:rsid w:val="00B4505F"/>
    <w:rsid w:val="00B52064"/>
    <w:rsid w:val="00B53850"/>
    <w:rsid w:val="00B54FF2"/>
    <w:rsid w:val="00B55EB9"/>
    <w:rsid w:val="00B5693A"/>
    <w:rsid w:val="00B5720E"/>
    <w:rsid w:val="00B57E27"/>
    <w:rsid w:val="00B61492"/>
    <w:rsid w:val="00B62786"/>
    <w:rsid w:val="00B64111"/>
    <w:rsid w:val="00B64D35"/>
    <w:rsid w:val="00B651A5"/>
    <w:rsid w:val="00B652DE"/>
    <w:rsid w:val="00B65ACE"/>
    <w:rsid w:val="00B65F44"/>
    <w:rsid w:val="00B673A7"/>
    <w:rsid w:val="00B71BB4"/>
    <w:rsid w:val="00B7430C"/>
    <w:rsid w:val="00B743E4"/>
    <w:rsid w:val="00B74A8F"/>
    <w:rsid w:val="00B74CB0"/>
    <w:rsid w:val="00B758B8"/>
    <w:rsid w:val="00B75AE1"/>
    <w:rsid w:val="00B7712D"/>
    <w:rsid w:val="00B7766A"/>
    <w:rsid w:val="00B7791E"/>
    <w:rsid w:val="00B81936"/>
    <w:rsid w:val="00B82731"/>
    <w:rsid w:val="00B83261"/>
    <w:rsid w:val="00B83B1E"/>
    <w:rsid w:val="00B8501E"/>
    <w:rsid w:val="00B85466"/>
    <w:rsid w:val="00B85CD6"/>
    <w:rsid w:val="00B92269"/>
    <w:rsid w:val="00B929EB"/>
    <w:rsid w:val="00B9528E"/>
    <w:rsid w:val="00B952E9"/>
    <w:rsid w:val="00B96398"/>
    <w:rsid w:val="00BA04ED"/>
    <w:rsid w:val="00BA0561"/>
    <w:rsid w:val="00BA18E8"/>
    <w:rsid w:val="00BA2CA8"/>
    <w:rsid w:val="00BA4DA8"/>
    <w:rsid w:val="00BA5B4A"/>
    <w:rsid w:val="00BA658E"/>
    <w:rsid w:val="00BB017C"/>
    <w:rsid w:val="00BB0691"/>
    <w:rsid w:val="00BB0CC0"/>
    <w:rsid w:val="00BB2D21"/>
    <w:rsid w:val="00BB2E45"/>
    <w:rsid w:val="00BB4BAE"/>
    <w:rsid w:val="00BB5084"/>
    <w:rsid w:val="00BB5CDC"/>
    <w:rsid w:val="00BB6032"/>
    <w:rsid w:val="00BB719A"/>
    <w:rsid w:val="00BB788B"/>
    <w:rsid w:val="00BC0F11"/>
    <w:rsid w:val="00BC2C0F"/>
    <w:rsid w:val="00BC2C97"/>
    <w:rsid w:val="00BC50C6"/>
    <w:rsid w:val="00BC5563"/>
    <w:rsid w:val="00BC55C7"/>
    <w:rsid w:val="00BC5A89"/>
    <w:rsid w:val="00BC5F8A"/>
    <w:rsid w:val="00BC6449"/>
    <w:rsid w:val="00BC6BAF"/>
    <w:rsid w:val="00BD040C"/>
    <w:rsid w:val="00BD08DC"/>
    <w:rsid w:val="00BD19DC"/>
    <w:rsid w:val="00BD1C0A"/>
    <w:rsid w:val="00BD23A5"/>
    <w:rsid w:val="00BD33A2"/>
    <w:rsid w:val="00BD5F10"/>
    <w:rsid w:val="00BD6539"/>
    <w:rsid w:val="00BD67BE"/>
    <w:rsid w:val="00BD6E43"/>
    <w:rsid w:val="00BD79D0"/>
    <w:rsid w:val="00BD7A41"/>
    <w:rsid w:val="00BE1C02"/>
    <w:rsid w:val="00BE2737"/>
    <w:rsid w:val="00BE57A7"/>
    <w:rsid w:val="00BE5D7C"/>
    <w:rsid w:val="00BF1FF5"/>
    <w:rsid w:val="00BF2359"/>
    <w:rsid w:val="00BF2891"/>
    <w:rsid w:val="00BF3124"/>
    <w:rsid w:val="00BF39C6"/>
    <w:rsid w:val="00BF4C38"/>
    <w:rsid w:val="00BF55D9"/>
    <w:rsid w:val="00C00B02"/>
    <w:rsid w:val="00C0277F"/>
    <w:rsid w:val="00C02C5B"/>
    <w:rsid w:val="00C02D32"/>
    <w:rsid w:val="00C05505"/>
    <w:rsid w:val="00C05874"/>
    <w:rsid w:val="00C05B71"/>
    <w:rsid w:val="00C06569"/>
    <w:rsid w:val="00C10BCC"/>
    <w:rsid w:val="00C11741"/>
    <w:rsid w:val="00C11BC4"/>
    <w:rsid w:val="00C12679"/>
    <w:rsid w:val="00C1324B"/>
    <w:rsid w:val="00C1563B"/>
    <w:rsid w:val="00C15B0D"/>
    <w:rsid w:val="00C17796"/>
    <w:rsid w:val="00C2070C"/>
    <w:rsid w:val="00C21994"/>
    <w:rsid w:val="00C2208D"/>
    <w:rsid w:val="00C27BC5"/>
    <w:rsid w:val="00C363C1"/>
    <w:rsid w:val="00C43250"/>
    <w:rsid w:val="00C46438"/>
    <w:rsid w:val="00C46E56"/>
    <w:rsid w:val="00C479EB"/>
    <w:rsid w:val="00C47F40"/>
    <w:rsid w:val="00C52D3E"/>
    <w:rsid w:val="00C54690"/>
    <w:rsid w:val="00C5517D"/>
    <w:rsid w:val="00C5616B"/>
    <w:rsid w:val="00C572D3"/>
    <w:rsid w:val="00C60458"/>
    <w:rsid w:val="00C60621"/>
    <w:rsid w:val="00C60ACD"/>
    <w:rsid w:val="00C61006"/>
    <w:rsid w:val="00C61AB2"/>
    <w:rsid w:val="00C61E98"/>
    <w:rsid w:val="00C621D9"/>
    <w:rsid w:val="00C627A9"/>
    <w:rsid w:val="00C663DC"/>
    <w:rsid w:val="00C67560"/>
    <w:rsid w:val="00C67CE4"/>
    <w:rsid w:val="00C71687"/>
    <w:rsid w:val="00C771A5"/>
    <w:rsid w:val="00C80757"/>
    <w:rsid w:val="00C80DB0"/>
    <w:rsid w:val="00C820B8"/>
    <w:rsid w:val="00C82CA2"/>
    <w:rsid w:val="00C831F2"/>
    <w:rsid w:val="00C8494B"/>
    <w:rsid w:val="00C875A8"/>
    <w:rsid w:val="00C911A7"/>
    <w:rsid w:val="00C9359F"/>
    <w:rsid w:val="00C96723"/>
    <w:rsid w:val="00C97F24"/>
    <w:rsid w:val="00CA106D"/>
    <w:rsid w:val="00CA29EC"/>
    <w:rsid w:val="00CA2D39"/>
    <w:rsid w:val="00CA30F2"/>
    <w:rsid w:val="00CA3100"/>
    <w:rsid w:val="00CA35AA"/>
    <w:rsid w:val="00CA3955"/>
    <w:rsid w:val="00CA4056"/>
    <w:rsid w:val="00CA6B25"/>
    <w:rsid w:val="00CA6DB4"/>
    <w:rsid w:val="00CA7CF4"/>
    <w:rsid w:val="00CA7D45"/>
    <w:rsid w:val="00CB05A5"/>
    <w:rsid w:val="00CB14AE"/>
    <w:rsid w:val="00CB171C"/>
    <w:rsid w:val="00CB2BBC"/>
    <w:rsid w:val="00CB2EC0"/>
    <w:rsid w:val="00CB31FA"/>
    <w:rsid w:val="00CB440D"/>
    <w:rsid w:val="00CB60A8"/>
    <w:rsid w:val="00CB6CBB"/>
    <w:rsid w:val="00CB7050"/>
    <w:rsid w:val="00CB777F"/>
    <w:rsid w:val="00CC0124"/>
    <w:rsid w:val="00CC2474"/>
    <w:rsid w:val="00CC2898"/>
    <w:rsid w:val="00CC2A56"/>
    <w:rsid w:val="00CC3525"/>
    <w:rsid w:val="00CC455A"/>
    <w:rsid w:val="00CC4DBE"/>
    <w:rsid w:val="00CC758D"/>
    <w:rsid w:val="00CD0EA1"/>
    <w:rsid w:val="00CD1AAE"/>
    <w:rsid w:val="00CD2B0C"/>
    <w:rsid w:val="00CD4747"/>
    <w:rsid w:val="00CD4B81"/>
    <w:rsid w:val="00CD54E1"/>
    <w:rsid w:val="00CD582C"/>
    <w:rsid w:val="00CD70C5"/>
    <w:rsid w:val="00CD713A"/>
    <w:rsid w:val="00CD720C"/>
    <w:rsid w:val="00CD734F"/>
    <w:rsid w:val="00CD7B88"/>
    <w:rsid w:val="00CE391D"/>
    <w:rsid w:val="00CE4523"/>
    <w:rsid w:val="00CE6587"/>
    <w:rsid w:val="00CF18AE"/>
    <w:rsid w:val="00CF22BC"/>
    <w:rsid w:val="00CF528C"/>
    <w:rsid w:val="00CF6B9D"/>
    <w:rsid w:val="00CF7E64"/>
    <w:rsid w:val="00CF7E75"/>
    <w:rsid w:val="00D002DE"/>
    <w:rsid w:val="00D023C6"/>
    <w:rsid w:val="00D02B79"/>
    <w:rsid w:val="00D035C3"/>
    <w:rsid w:val="00D0390C"/>
    <w:rsid w:val="00D04DE3"/>
    <w:rsid w:val="00D074A8"/>
    <w:rsid w:val="00D07CDA"/>
    <w:rsid w:val="00D07E8F"/>
    <w:rsid w:val="00D1046F"/>
    <w:rsid w:val="00D1069B"/>
    <w:rsid w:val="00D12137"/>
    <w:rsid w:val="00D13C49"/>
    <w:rsid w:val="00D159F0"/>
    <w:rsid w:val="00D15DE9"/>
    <w:rsid w:val="00D16133"/>
    <w:rsid w:val="00D204D4"/>
    <w:rsid w:val="00D20964"/>
    <w:rsid w:val="00D210BA"/>
    <w:rsid w:val="00D210BD"/>
    <w:rsid w:val="00D22E2B"/>
    <w:rsid w:val="00D25B32"/>
    <w:rsid w:val="00D25CF4"/>
    <w:rsid w:val="00D27FE8"/>
    <w:rsid w:val="00D308AC"/>
    <w:rsid w:val="00D36DA5"/>
    <w:rsid w:val="00D376FB"/>
    <w:rsid w:val="00D41438"/>
    <w:rsid w:val="00D4174C"/>
    <w:rsid w:val="00D4246A"/>
    <w:rsid w:val="00D42C43"/>
    <w:rsid w:val="00D434F5"/>
    <w:rsid w:val="00D4467E"/>
    <w:rsid w:val="00D5066E"/>
    <w:rsid w:val="00D52E0B"/>
    <w:rsid w:val="00D535F4"/>
    <w:rsid w:val="00D552FD"/>
    <w:rsid w:val="00D55F16"/>
    <w:rsid w:val="00D565E8"/>
    <w:rsid w:val="00D56D66"/>
    <w:rsid w:val="00D6013F"/>
    <w:rsid w:val="00D63514"/>
    <w:rsid w:val="00D6437A"/>
    <w:rsid w:val="00D64FA9"/>
    <w:rsid w:val="00D654ED"/>
    <w:rsid w:val="00D70029"/>
    <w:rsid w:val="00D73225"/>
    <w:rsid w:val="00D73A94"/>
    <w:rsid w:val="00D75C02"/>
    <w:rsid w:val="00D8071A"/>
    <w:rsid w:val="00D82BD7"/>
    <w:rsid w:val="00D83A22"/>
    <w:rsid w:val="00D84F5D"/>
    <w:rsid w:val="00D85B0D"/>
    <w:rsid w:val="00D85DC4"/>
    <w:rsid w:val="00D8739C"/>
    <w:rsid w:val="00D90913"/>
    <w:rsid w:val="00D92193"/>
    <w:rsid w:val="00D92306"/>
    <w:rsid w:val="00D933EE"/>
    <w:rsid w:val="00D93FC6"/>
    <w:rsid w:val="00D94A36"/>
    <w:rsid w:val="00D94C93"/>
    <w:rsid w:val="00D95ED6"/>
    <w:rsid w:val="00D979C0"/>
    <w:rsid w:val="00DA06C0"/>
    <w:rsid w:val="00DA1802"/>
    <w:rsid w:val="00DA2B02"/>
    <w:rsid w:val="00DA3F7B"/>
    <w:rsid w:val="00DA5180"/>
    <w:rsid w:val="00DA560E"/>
    <w:rsid w:val="00DA5680"/>
    <w:rsid w:val="00DA58B0"/>
    <w:rsid w:val="00DA62B0"/>
    <w:rsid w:val="00DA7AAC"/>
    <w:rsid w:val="00DB1532"/>
    <w:rsid w:val="00DB1E70"/>
    <w:rsid w:val="00DB5B06"/>
    <w:rsid w:val="00DB65CE"/>
    <w:rsid w:val="00DB7D30"/>
    <w:rsid w:val="00DC0D2C"/>
    <w:rsid w:val="00DC0E10"/>
    <w:rsid w:val="00DC203B"/>
    <w:rsid w:val="00DC2D94"/>
    <w:rsid w:val="00DC33F8"/>
    <w:rsid w:val="00DC3E05"/>
    <w:rsid w:val="00DC519C"/>
    <w:rsid w:val="00DC61C0"/>
    <w:rsid w:val="00DC640B"/>
    <w:rsid w:val="00DD1117"/>
    <w:rsid w:val="00DD240F"/>
    <w:rsid w:val="00DD30C0"/>
    <w:rsid w:val="00DD4371"/>
    <w:rsid w:val="00DD4E29"/>
    <w:rsid w:val="00DE2241"/>
    <w:rsid w:val="00DE31BF"/>
    <w:rsid w:val="00DE366E"/>
    <w:rsid w:val="00DE37C9"/>
    <w:rsid w:val="00DE4CEA"/>
    <w:rsid w:val="00DE553F"/>
    <w:rsid w:val="00DE6A91"/>
    <w:rsid w:val="00DE7595"/>
    <w:rsid w:val="00DF178E"/>
    <w:rsid w:val="00DF205B"/>
    <w:rsid w:val="00DF7218"/>
    <w:rsid w:val="00DF77C2"/>
    <w:rsid w:val="00E004DC"/>
    <w:rsid w:val="00E00DED"/>
    <w:rsid w:val="00E023DC"/>
    <w:rsid w:val="00E0324C"/>
    <w:rsid w:val="00E129F3"/>
    <w:rsid w:val="00E21C6C"/>
    <w:rsid w:val="00E23D57"/>
    <w:rsid w:val="00E24833"/>
    <w:rsid w:val="00E255DE"/>
    <w:rsid w:val="00E277CB"/>
    <w:rsid w:val="00E30C17"/>
    <w:rsid w:val="00E310CB"/>
    <w:rsid w:val="00E3616D"/>
    <w:rsid w:val="00E401B1"/>
    <w:rsid w:val="00E40220"/>
    <w:rsid w:val="00E4066C"/>
    <w:rsid w:val="00E408C9"/>
    <w:rsid w:val="00E410CF"/>
    <w:rsid w:val="00E415F4"/>
    <w:rsid w:val="00E429A4"/>
    <w:rsid w:val="00E44E0F"/>
    <w:rsid w:val="00E44E79"/>
    <w:rsid w:val="00E457C8"/>
    <w:rsid w:val="00E4592A"/>
    <w:rsid w:val="00E45DB3"/>
    <w:rsid w:val="00E461E6"/>
    <w:rsid w:val="00E47582"/>
    <w:rsid w:val="00E47B9E"/>
    <w:rsid w:val="00E50400"/>
    <w:rsid w:val="00E55E54"/>
    <w:rsid w:val="00E5772D"/>
    <w:rsid w:val="00E57910"/>
    <w:rsid w:val="00E60903"/>
    <w:rsid w:val="00E61DA7"/>
    <w:rsid w:val="00E6256D"/>
    <w:rsid w:val="00E6472E"/>
    <w:rsid w:val="00E66EE7"/>
    <w:rsid w:val="00E67C0E"/>
    <w:rsid w:val="00E67E2A"/>
    <w:rsid w:val="00E71E2E"/>
    <w:rsid w:val="00E72D01"/>
    <w:rsid w:val="00E7472B"/>
    <w:rsid w:val="00E80A02"/>
    <w:rsid w:val="00E82E59"/>
    <w:rsid w:val="00E845EF"/>
    <w:rsid w:val="00E85111"/>
    <w:rsid w:val="00E8522F"/>
    <w:rsid w:val="00E85CCF"/>
    <w:rsid w:val="00E87D89"/>
    <w:rsid w:val="00E91594"/>
    <w:rsid w:val="00E91EB4"/>
    <w:rsid w:val="00E92741"/>
    <w:rsid w:val="00E92CA0"/>
    <w:rsid w:val="00E938E1"/>
    <w:rsid w:val="00E93C00"/>
    <w:rsid w:val="00E93E2B"/>
    <w:rsid w:val="00E94D3E"/>
    <w:rsid w:val="00E9520F"/>
    <w:rsid w:val="00E9558D"/>
    <w:rsid w:val="00E9593B"/>
    <w:rsid w:val="00E95CB7"/>
    <w:rsid w:val="00E95DED"/>
    <w:rsid w:val="00E969E6"/>
    <w:rsid w:val="00EA0A7B"/>
    <w:rsid w:val="00EB1B31"/>
    <w:rsid w:val="00EB2725"/>
    <w:rsid w:val="00EB4EAD"/>
    <w:rsid w:val="00EB52F7"/>
    <w:rsid w:val="00EB6561"/>
    <w:rsid w:val="00EB65E9"/>
    <w:rsid w:val="00EB767E"/>
    <w:rsid w:val="00EC105F"/>
    <w:rsid w:val="00EC1210"/>
    <w:rsid w:val="00EC227B"/>
    <w:rsid w:val="00EC288A"/>
    <w:rsid w:val="00EC4C56"/>
    <w:rsid w:val="00EC51CD"/>
    <w:rsid w:val="00EC6A1A"/>
    <w:rsid w:val="00EC7F41"/>
    <w:rsid w:val="00ED2379"/>
    <w:rsid w:val="00ED250D"/>
    <w:rsid w:val="00ED2CAA"/>
    <w:rsid w:val="00ED4539"/>
    <w:rsid w:val="00ED4EC2"/>
    <w:rsid w:val="00ED5E7A"/>
    <w:rsid w:val="00ED6D6B"/>
    <w:rsid w:val="00EE3E48"/>
    <w:rsid w:val="00EE43C0"/>
    <w:rsid w:val="00EE642B"/>
    <w:rsid w:val="00EE6583"/>
    <w:rsid w:val="00EE7324"/>
    <w:rsid w:val="00EF1169"/>
    <w:rsid w:val="00EF123C"/>
    <w:rsid w:val="00EF1845"/>
    <w:rsid w:val="00EF187A"/>
    <w:rsid w:val="00EF2CC2"/>
    <w:rsid w:val="00EF33E2"/>
    <w:rsid w:val="00EF349B"/>
    <w:rsid w:val="00EF49BA"/>
    <w:rsid w:val="00EF5D2E"/>
    <w:rsid w:val="00EF65D6"/>
    <w:rsid w:val="00EF71D6"/>
    <w:rsid w:val="00F022C2"/>
    <w:rsid w:val="00F02F0B"/>
    <w:rsid w:val="00F0305E"/>
    <w:rsid w:val="00F0307B"/>
    <w:rsid w:val="00F05792"/>
    <w:rsid w:val="00F05C6B"/>
    <w:rsid w:val="00F066FB"/>
    <w:rsid w:val="00F11726"/>
    <w:rsid w:val="00F11EFA"/>
    <w:rsid w:val="00F12F0A"/>
    <w:rsid w:val="00F14074"/>
    <w:rsid w:val="00F14880"/>
    <w:rsid w:val="00F14D9A"/>
    <w:rsid w:val="00F14E5A"/>
    <w:rsid w:val="00F16013"/>
    <w:rsid w:val="00F1701D"/>
    <w:rsid w:val="00F171A1"/>
    <w:rsid w:val="00F17ED0"/>
    <w:rsid w:val="00F22215"/>
    <w:rsid w:val="00F23DA4"/>
    <w:rsid w:val="00F24730"/>
    <w:rsid w:val="00F2643A"/>
    <w:rsid w:val="00F26766"/>
    <w:rsid w:val="00F27E59"/>
    <w:rsid w:val="00F31D31"/>
    <w:rsid w:val="00F3301D"/>
    <w:rsid w:val="00F34953"/>
    <w:rsid w:val="00F35F8D"/>
    <w:rsid w:val="00F36578"/>
    <w:rsid w:val="00F367A2"/>
    <w:rsid w:val="00F41DDA"/>
    <w:rsid w:val="00F420F8"/>
    <w:rsid w:val="00F455F3"/>
    <w:rsid w:val="00F45A46"/>
    <w:rsid w:val="00F464D6"/>
    <w:rsid w:val="00F474F3"/>
    <w:rsid w:val="00F51F3F"/>
    <w:rsid w:val="00F52B09"/>
    <w:rsid w:val="00F5346C"/>
    <w:rsid w:val="00F541F3"/>
    <w:rsid w:val="00F54C79"/>
    <w:rsid w:val="00F5721F"/>
    <w:rsid w:val="00F61C4B"/>
    <w:rsid w:val="00F62EA2"/>
    <w:rsid w:val="00F66CA3"/>
    <w:rsid w:val="00F66E1F"/>
    <w:rsid w:val="00F6799C"/>
    <w:rsid w:val="00F71FF0"/>
    <w:rsid w:val="00F72A3D"/>
    <w:rsid w:val="00F73DA5"/>
    <w:rsid w:val="00F77146"/>
    <w:rsid w:val="00F80DF3"/>
    <w:rsid w:val="00F820E9"/>
    <w:rsid w:val="00F8253D"/>
    <w:rsid w:val="00F8264A"/>
    <w:rsid w:val="00F83464"/>
    <w:rsid w:val="00F8432F"/>
    <w:rsid w:val="00F8457E"/>
    <w:rsid w:val="00F87B93"/>
    <w:rsid w:val="00F9131F"/>
    <w:rsid w:val="00F92D87"/>
    <w:rsid w:val="00F936B8"/>
    <w:rsid w:val="00F94B6C"/>
    <w:rsid w:val="00F955FA"/>
    <w:rsid w:val="00F9673B"/>
    <w:rsid w:val="00F97838"/>
    <w:rsid w:val="00F97B49"/>
    <w:rsid w:val="00FA069A"/>
    <w:rsid w:val="00FA15B1"/>
    <w:rsid w:val="00FA1768"/>
    <w:rsid w:val="00FA2182"/>
    <w:rsid w:val="00FA2964"/>
    <w:rsid w:val="00FA29CE"/>
    <w:rsid w:val="00FA2E7F"/>
    <w:rsid w:val="00FA368B"/>
    <w:rsid w:val="00FA4804"/>
    <w:rsid w:val="00FA4905"/>
    <w:rsid w:val="00FA589E"/>
    <w:rsid w:val="00FB09F5"/>
    <w:rsid w:val="00FB1DC5"/>
    <w:rsid w:val="00FB30CD"/>
    <w:rsid w:val="00FB3F47"/>
    <w:rsid w:val="00FB4D3D"/>
    <w:rsid w:val="00FB55A2"/>
    <w:rsid w:val="00FB60C4"/>
    <w:rsid w:val="00FB63F4"/>
    <w:rsid w:val="00FB721F"/>
    <w:rsid w:val="00FB7450"/>
    <w:rsid w:val="00FB78A0"/>
    <w:rsid w:val="00FC08C1"/>
    <w:rsid w:val="00FC0E69"/>
    <w:rsid w:val="00FC1390"/>
    <w:rsid w:val="00FC209A"/>
    <w:rsid w:val="00FC3A4C"/>
    <w:rsid w:val="00FC3DA1"/>
    <w:rsid w:val="00FC5C3F"/>
    <w:rsid w:val="00FC6495"/>
    <w:rsid w:val="00FD013D"/>
    <w:rsid w:val="00FD0226"/>
    <w:rsid w:val="00FD271C"/>
    <w:rsid w:val="00FD69C6"/>
    <w:rsid w:val="00FD7437"/>
    <w:rsid w:val="00FD7B56"/>
    <w:rsid w:val="00FE0EED"/>
    <w:rsid w:val="00FE1E1F"/>
    <w:rsid w:val="00FE54EF"/>
    <w:rsid w:val="00FE621F"/>
    <w:rsid w:val="00FE6704"/>
    <w:rsid w:val="00FF0EFF"/>
    <w:rsid w:val="00FF19B9"/>
    <w:rsid w:val="00FF267B"/>
    <w:rsid w:val="00FF2E2C"/>
    <w:rsid w:val="00FF37E0"/>
    <w:rsid w:val="00FF512F"/>
    <w:rsid w:val="00FF539C"/>
    <w:rsid w:val="00FF5850"/>
    <w:rsid w:val="00FF5B14"/>
    <w:rsid w:val="00FF65B1"/>
    <w:rsid w:val="00FF690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D6404D"/>
  <w15:docId w15:val="{BE0BEE6C-F838-4AF8-9FB6-B4BAE341B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0E30"/>
    <w:rPr>
      <w:sz w:val="24"/>
      <w:szCs w:val="24"/>
    </w:rPr>
  </w:style>
  <w:style w:type="paragraph" w:styleId="1">
    <w:name w:val="heading 1"/>
    <w:basedOn w:val="a"/>
    <w:next w:val="a"/>
    <w:qFormat/>
    <w:rsid w:val="001B464E"/>
    <w:pPr>
      <w:keepNext/>
      <w:spacing w:before="240" w:after="6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after="60"/>
      <w:outlineLvl w:val="6"/>
    </w:pPr>
  </w:style>
  <w:style w:type="paragraph" w:styleId="8">
    <w:name w:val="heading 8"/>
    <w:basedOn w:val="a"/>
    <w:next w:val="a"/>
    <w:qFormat/>
    <w:rsid w:val="00D73225"/>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uiPriority w:val="59"/>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line="240" w:lineRule="exact"/>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line="240" w:lineRule="exact"/>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iPriority w:val="99"/>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 w:type="character" w:customStyle="1" w:styleId="af1">
    <w:name w:val="Χαρακτήρες σημείωσης τέλους"/>
    <w:rsid w:val="00C5616B"/>
    <w:rPr>
      <w:vertAlign w:val="superscript"/>
    </w:rPr>
  </w:style>
  <w:style w:type="character" w:customStyle="1" w:styleId="FootnoteReference1">
    <w:name w:val="Footnote Reference1"/>
    <w:rsid w:val="00C5616B"/>
    <w:rPr>
      <w:vertAlign w:val="superscript"/>
    </w:rPr>
  </w:style>
  <w:style w:type="paragraph" w:customStyle="1" w:styleId="Standard">
    <w:name w:val="Standard"/>
    <w:rsid w:val="00C5616B"/>
    <w:pPr>
      <w:widowControl w:val="0"/>
      <w:suppressAutoHyphens/>
      <w:textAlignment w:val="baseline"/>
    </w:pPr>
    <w:rPr>
      <w:rFonts w:eastAsia="Andale Sans UI" w:cs="Tahoma"/>
      <w:kern w:val="1"/>
      <w:sz w:val="24"/>
      <w:szCs w:val="24"/>
      <w:lang w:val="en-US"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442203">
      <w:bodyDiv w:val="1"/>
      <w:marLeft w:val="0"/>
      <w:marRight w:val="0"/>
      <w:marTop w:val="0"/>
      <w:marBottom w:val="0"/>
      <w:divBdr>
        <w:top w:val="none" w:sz="0" w:space="0" w:color="auto"/>
        <w:left w:val="none" w:sz="0" w:space="0" w:color="auto"/>
        <w:bottom w:val="none" w:sz="0" w:space="0" w:color="auto"/>
        <w:right w:val="none" w:sz="0" w:space="0" w:color="auto"/>
      </w:divBdr>
      <w:divsChild>
        <w:div w:id="811992102">
          <w:marLeft w:val="547"/>
          <w:marRight w:val="0"/>
          <w:marTop w:val="86"/>
          <w:marBottom w:val="0"/>
          <w:divBdr>
            <w:top w:val="none" w:sz="0" w:space="0" w:color="auto"/>
            <w:left w:val="none" w:sz="0" w:space="0" w:color="auto"/>
            <w:bottom w:val="none" w:sz="0" w:space="0" w:color="auto"/>
            <w:right w:val="none" w:sz="0" w:space="0" w:color="auto"/>
          </w:divBdr>
        </w:div>
        <w:div w:id="444734594">
          <w:marLeft w:val="547"/>
          <w:marRight w:val="0"/>
          <w:marTop w:val="86"/>
          <w:marBottom w:val="0"/>
          <w:divBdr>
            <w:top w:val="none" w:sz="0" w:space="0" w:color="auto"/>
            <w:left w:val="none" w:sz="0" w:space="0" w:color="auto"/>
            <w:bottom w:val="none" w:sz="0" w:space="0" w:color="auto"/>
            <w:right w:val="none" w:sz="0" w:space="0" w:color="auto"/>
          </w:divBdr>
        </w:div>
        <w:div w:id="576330864">
          <w:marLeft w:val="547"/>
          <w:marRight w:val="0"/>
          <w:marTop w:val="86"/>
          <w:marBottom w:val="0"/>
          <w:divBdr>
            <w:top w:val="none" w:sz="0" w:space="0" w:color="auto"/>
            <w:left w:val="none" w:sz="0" w:space="0" w:color="auto"/>
            <w:bottom w:val="none" w:sz="0" w:space="0" w:color="auto"/>
            <w:right w:val="none" w:sz="0" w:space="0" w:color="auto"/>
          </w:divBdr>
        </w:div>
        <w:div w:id="747963538">
          <w:marLeft w:val="547"/>
          <w:marRight w:val="0"/>
          <w:marTop w:val="86"/>
          <w:marBottom w:val="0"/>
          <w:divBdr>
            <w:top w:val="none" w:sz="0" w:space="0" w:color="auto"/>
            <w:left w:val="none" w:sz="0" w:space="0" w:color="auto"/>
            <w:bottom w:val="none" w:sz="0" w:space="0" w:color="auto"/>
            <w:right w:val="none" w:sz="0" w:space="0" w:color="auto"/>
          </w:divBdr>
        </w:div>
        <w:div w:id="1390112836">
          <w:marLeft w:val="1008"/>
          <w:marRight w:val="0"/>
          <w:marTop w:val="86"/>
          <w:marBottom w:val="0"/>
          <w:divBdr>
            <w:top w:val="none" w:sz="0" w:space="0" w:color="auto"/>
            <w:left w:val="none" w:sz="0" w:space="0" w:color="auto"/>
            <w:bottom w:val="none" w:sz="0" w:space="0" w:color="auto"/>
            <w:right w:val="none" w:sz="0" w:space="0" w:color="auto"/>
          </w:divBdr>
        </w:div>
      </w:divsChild>
    </w:div>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455947361">
      <w:bodyDiv w:val="1"/>
      <w:marLeft w:val="0"/>
      <w:marRight w:val="0"/>
      <w:marTop w:val="0"/>
      <w:marBottom w:val="0"/>
      <w:divBdr>
        <w:top w:val="none" w:sz="0" w:space="0" w:color="auto"/>
        <w:left w:val="none" w:sz="0" w:space="0" w:color="auto"/>
        <w:bottom w:val="none" w:sz="0" w:space="0" w:color="auto"/>
        <w:right w:val="none" w:sz="0" w:space="0" w:color="auto"/>
      </w:divBdr>
    </w:div>
    <w:div w:id="467093622">
      <w:bodyDiv w:val="1"/>
      <w:marLeft w:val="0"/>
      <w:marRight w:val="0"/>
      <w:marTop w:val="0"/>
      <w:marBottom w:val="0"/>
      <w:divBdr>
        <w:top w:val="none" w:sz="0" w:space="0" w:color="auto"/>
        <w:left w:val="none" w:sz="0" w:space="0" w:color="auto"/>
        <w:bottom w:val="none" w:sz="0" w:space="0" w:color="auto"/>
        <w:right w:val="none" w:sz="0" w:space="0" w:color="auto"/>
      </w:divBdr>
      <w:divsChild>
        <w:div w:id="1944148258">
          <w:marLeft w:val="850"/>
          <w:marRight w:val="0"/>
          <w:marTop w:val="86"/>
          <w:marBottom w:val="0"/>
          <w:divBdr>
            <w:top w:val="none" w:sz="0" w:space="0" w:color="auto"/>
            <w:left w:val="none" w:sz="0" w:space="0" w:color="auto"/>
            <w:bottom w:val="none" w:sz="0" w:space="0" w:color="auto"/>
            <w:right w:val="none" w:sz="0" w:space="0" w:color="auto"/>
          </w:divBdr>
        </w:div>
      </w:divsChild>
    </w:div>
    <w:div w:id="479732207">
      <w:bodyDiv w:val="1"/>
      <w:marLeft w:val="0"/>
      <w:marRight w:val="0"/>
      <w:marTop w:val="0"/>
      <w:marBottom w:val="0"/>
      <w:divBdr>
        <w:top w:val="none" w:sz="0" w:space="0" w:color="auto"/>
        <w:left w:val="none" w:sz="0" w:space="0" w:color="auto"/>
        <w:bottom w:val="none" w:sz="0" w:space="0" w:color="auto"/>
        <w:right w:val="none" w:sz="0" w:space="0" w:color="auto"/>
      </w:divBdr>
    </w:div>
    <w:div w:id="616837508">
      <w:bodyDiv w:val="1"/>
      <w:marLeft w:val="0"/>
      <w:marRight w:val="0"/>
      <w:marTop w:val="0"/>
      <w:marBottom w:val="0"/>
      <w:divBdr>
        <w:top w:val="none" w:sz="0" w:space="0" w:color="auto"/>
        <w:left w:val="none" w:sz="0" w:space="0" w:color="auto"/>
        <w:bottom w:val="none" w:sz="0" w:space="0" w:color="auto"/>
        <w:right w:val="none" w:sz="0" w:space="0" w:color="auto"/>
      </w:divBdr>
    </w:div>
    <w:div w:id="666859056">
      <w:bodyDiv w:val="1"/>
      <w:marLeft w:val="0"/>
      <w:marRight w:val="0"/>
      <w:marTop w:val="0"/>
      <w:marBottom w:val="0"/>
      <w:divBdr>
        <w:top w:val="none" w:sz="0" w:space="0" w:color="auto"/>
        <w:left w:val="none" w:sz="0" w:space="0" w:color="auto"/>
        <w:bottom w:val="none" w:sz="0" w:space="0" w:color="auto"/>
        <w:right w:val="none" w:sz="0" w:space="0" w:color="auto"/>
      </w:divBdr>
    </w:div>
    <w:div w:id="735129789">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047293760">
      <w:bodyDiv w:val="1"/>
      <w:marLeft w:val="0"/>
      <w:marRight w:val="0"/>
      <w:marTop w:val="0"/>
      <w:marBottom w:val="0"/>
      <w:divBdr>
        <w:top w:val="none" w:sz="0" w:space="0" w:color="auto"/>
        <w:left w:val="none" w:sz="0" w:space="0" w:color="auto"/>
        <w:bottom w:val="none" w:sz="0" w:space="0" w:color="auto"/>
        <w:right w:val="none" w:sz="0" w:space="0" w:color="auto"/>
      </w:divBdr>
      <w:divsChild>
        <w:div w:id="1647665654">
          <w:marLeft w:val="446"/>
          <w:marRight w:val="0"/>
          <w:marTop w:val="86"/>
          <w:marBottom w:val="0"/>
          <w:divBdr>
            <w:top w:val="none" w:sz="0" w:space="0" w:color="auto"/>
            <w:left w:val="none" w:sz="0" w:space="0" w:color="auto"/>
            <w:bottom w:val="none" w:sz="0" w:space="0" w:color="auto"/>
            <w:right w:val="none" w:sz="0" w:space="0" w:color="auto"/>
          </w:divBdr>
        </w:div>
      </w:divsChild>
    </w:div>
    <w:div w:id="1362244272">
      <w:bodyDiv w:val="1"/>
      <w:marLeft w:val="0"/>
      <w:marRight w:val="0"/>
      <w:marTop w:val="0"/>
      <w:marBottom w:val="0"/>
      <w:divBdr>
        <w:top w:val="none" w:sz="0" w:space="0" w:color="auto"/>
        <w:left w:val="none" w:sz="0" w:space="0" w:color="auto"/>
        <w:bottom w:val="none" w:sz="0" w:space="0" w:color="auto"/>
        <w:right w:val="none" w:sz="0" w:space="0" w:color="auto"/>
      </w:divBdr>
      <w:divsChild>
        <w:div w:id="1467238681">
          <w:marLeft w:val="547"/>
          <w:marRight w:val="0"/>
          <w:marTop w:val="96"/>
          <w:marBottom w:val="0"/>
          <w:divBdr>
            <w:top w:val="none" w:sz="0" w:space="0" w:color="auto"/>
            <w:left w:val="none" w:sz="0" w:space="0" w:color="auto"/>
            <w:bottom w:val="none" w:sz="0" w:space="0" w:color="auto"/>
            <w:right w:val="none" w:sz="0" w:space="0" w:color="auto"/>
          </w:divBdr>
        </w:div>
      </w:divsChild>
    </w:div>
    <w:div w:id="1391658620">
      <w:bodyDiv w:val="1"/>
      <w:marLeft w:val="0"/>
      <w:marRight w:val="0"/>
      <w:marTop w:val="0"/>
      <w:marBottom w:val="0"/>
      <w:divBdr>
        <w:top w:val="none" w:sz="0" w:space="0" w:color="auto"/>
        <w:left w:val="none" w:sz="0" w:space="0" w:color="auto"/>
        <w:bottom w:val="none" w:sz="0" w:space="0" w:color="auto"/>
        <w:right w:val="none" w:sz="0" w:space="0" w:color="auto"/>
      </w:divBdr>
    </w:div>
    <w:div w:id="1520583434">
      <w:bodyDiv w:val="1"/>
      <w:marLeft w:val="0"/>
      <w:marRight w:val="0"/>
      <w:marTop w:val="0"/>
      <w:marBottom w:val="0"/>
      <w:divBdr>
        <w:top w:val="none" w:sz="0" w:space="0" w:color="auto"/>
        <w:left w:val="none" w:sz="0" w:space="0" w:color="auto"/>
        <w:bottom w:val="none" w:sz="0" w:space="0" w:color="auto"/>
        <w:right w:val="none" w:sz="0" w:space="0" w:color="auto"/>
      </w:divBdr>
    </w:div>
    <w:div w:id="1727753295">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13219910">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cid:image001.png@01D99EC5.25879A1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9B91F-EA2B-4DF1-9E9B-5310A339C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1067</Words>
  <Characters>6566</Characters>
  <Application>Microsoft Office Word</Application>
  <DocSecurity>0</DocSecurity>
  <Lines>54</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Penny</dc:creator>
  <cp:lastModifiedBy>Ανεστοπούλου Μαρία</cp:lastModifiedBy>
  <cp:revision>4</cp:revision>
  <cp:lastPrinted>2023-06-20T09:22:00Z</cp:lastPrinted>
  <dcterms:created xsi:type="dcterms:W3CDTF">2023-06-22T09:39:00Z</dcterms:created>
  <dcterms:modified xsi:type="dcterms:W3CDTF">2023-06-22T10:03:00Z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