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3D09" w:rsidRPr="00F209D6" w:rsidRDefault="009F3D09" w:rsidP="009F3D09">
      <w:pPr>
        <w:jc w:val="center"/>
        <w:rPr>
          <w:rFonts w:ascii="Tahoma" w:hAnsi="Tahoma" w:cs="Tahoma"/>
          <w:b/>
          <w:sz w:val="20"/>
          <w:szCs w:val="20"/>
        </w:rPr>
      </w:pPr>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147A60" w:rsidRDefault="009F3D09" w:rsidP="009F3D09">
      <w:pPr>
        <w:jc w:val="center"/>
        <w:rPr>
          <w:rFonts w:ascii="Tahoma" w:hAnsi="Tahoma" w:cs="Tahoma"/>
          <w:b/>
          <w:sz w:val="20"/>
          <w:szCs w:val="20"/>
          <w:lang w:val="en-US"/>
        </w:rPr>
      </w:pPr>
    </w:p>
    <w:p w:rsidR="009F3D09" w:rsidRPr="00F209D6" w:rsidRDefault="009F3D09" w:rsidP="009F3D09">
      <w:pPr>
        <w:jc w:val="center"/>
        <w:rPr>
          <w:rFonts w:ascii="Tahoma" w:hAnsi="Tahoma" w:cs="Tahoma"/>
          <w:b/>
          <w:sz w:val="20"/>
          <w:szCs w:val="20"/>
        </w:rPr>
      </w:pPr>
    </w:p>
    <w:p w:rsidR="009F3D09" w:rsidRPr="00147A60" w:rsidRDefault="009F3D09" w:rsidP="009F3D09">
      <w:pPr>
        <w:jc w:val="center"/>
        <w:rPr>
          <w:rFonts w:ascii="Tahoma" w:hAnsi="Tahoma" w:cs="Tahoma"/>
          <w:b/>
        </w:rPr>
      </w:pPr>
    </w:p>
    <w:p w:rsidR="0047699B" w:rsidRDefault="0083773E" w:rsidP="0045079B">
      <w:pPr>
        <w:pStyle w:val="ab"/>
        <w:jc w:val="center"/>
        <w:rPr>
          <w:rFonts w:ascii="Tahoma" w:hAnsi="Tahoma" w:cs="Tahoma"/>
        </w:rPr>
      </w:pPr>
      <w:r w:rsidRPr="0083773E">
        <w:rPr>
          <w:rFonts w:ascii="Tahoma" w:hAnsi="Tahoma" w:cs="Tahoma"/>
        </w:rPr>
        <w:t xml:space="preserve">ΔΙΑΔΡΟΜΗ ΕΛΕΓΧΟΥ ΤΗΡΗΣΗΣ </w:t>
      </w:r>
      <w:r w:rsidR="00153341">
        <w:rPr>
          <w:rFonts w:ascii="Tahoma" w:hAnsi="Tahoma" w:cs="Tahoma"/>
        </w:rPr>
        <w:t xml:space="preserve">ΑΡΧΕΙΩΝ </w:t>
      </w:r>
      <w:r w:rsidRPr="0083773E">
        <w:rPr>
          <w:rFonts w:ascii="Tahoma" w:hAnsi="Tahoma" w:cs="Tahoma"/>
        </w:rPr>
        <w:t>ΣΤΟΙΧΕΙΩΝ Σ</w:t>
      </w:r>
      <w:r w:rsidR="00D71953">
        <w:rPr>
          <w:rFonts w:ascii="Tahoma" w:hAnsi="Tahoma" w:cs="Tahoma"/>
        </w:rPr>
        <w:t>Ε ΕΠΙΠΕΔΟ ΔΙΑΧΕΙΡΙΣΤΙΚΗΣ ΑΡΧΗΣ</w:t>
      </w:r>
      <w:r w:rsidRPr="0083773E">
        <w:rPr>
          <w:rFonts w:ascii="Tahoma" w:hAnsi="Tahoma" w:cs="Tahoma"/>
        </w:rPr>
        <w:t>/ΕΝΔΙΑΜΕΣΟΥ ΦΟΡΕΑ ΚΑΙ ΔΙΚΑΙΟΥΧΩΝ</w:t>
      </w:r>
      <w:bookmarkStart w:id="0" w:name="_Toc417476088"/>
    </w:p>
    <w:sdt>
      <w:sdtPr>
        <w:rPr>
          <w:rFonts w:ascii="Tahoma" w:hAnsi="Tahoma" w:cs="Tahoma"/>
          <w:b/>
          <w:bCs/>
          <w:sz w:val="20"/>
          <w:szCs w:val="20"/>
        </w:rPr>
        <w:id w:val="1822693460"/>
        <w:docPartObj>
          <w:docPartGallery w:val="Table of Contents"/>
          <w:docPartUnique/>
        </w:docPartObj>
      </w:sdtPr>
      <w:sdtEndPr>
        <w:rPr>
          <w:b w:val="0"/>
          <w:bCs w:val="0"/>
        </w:rPr>
      </w:sdtEndPr>
      <w:sdtContent>
        <w:p w:rsidR="0047699B" w:rsidRDefault="0047699B" w:rsidP="0047699B">
          <w:pPr>
            <w:jc w:val="center"/>
          </w:pPr>
        </w:p>
        <w:p w:rsidR="00DD1482" w:rsidRPr="00F209D6" w:rsidRDefault="009B7B21" w:rsidP="006B1DD0">
          <w:pPr>
            <w:pStyle w:val="21"/>
            <w:ind w:hanging="567"/>
            <w:rPr>
              <w:rFonts w:ascii="Tahoma" w:hAnsi="Tahoma" w:cs="Tahoma"/>
              <w:sz w:val="20"/>
              <w:szCs w:val="20"/>
            </w:rPr>
          </w:pP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1" w:name="_Toc430876883"/>
      <w:r w:rsidRPr="00F209D6">
        <w:rPr>
          <w:rFonts w:ascii="Tahoma" w:hAnsi="Tahoma" w:cs="Tahoma"/>
          <w:sz w:val="20"/>
          <w:szCs w:val="20"/>
        </w:rPr>
        <w:lastRenderedPageBreak/>
        <w:t>Εισαγωγή</w:t>
      </w:r>
      <w:bookmarkEnd w:id="0"/>
      <w:bookmarkEnd w:id="1"/>
    </w:p>
    <w:p w:rsidR="00735B0F" w:rsidRPr="00C02C6E" w:rsidRDefault="00F84FC4" w:rsidP="00D41DAC">
      <w:pPr>
        <w:spacing w:before="120" w:after="120" w:line="280" w:lineRule="exact"/>
        <w:contextualSpacing/>
        <w:jc w:val="both"/>
        <w:rPr>
          <w:rFonts w:ascii="Tahoma" w:hAnsi="Tahoma" w:cs="Tahoma"/>
        </w:rPr>
      </w:pPr>
      <w:r>
        <w:rPr>
          <w:rFonts w:ascii="Tahoma" w:hAnsi="Tahoma" w:cs="Tahoma"/>
        </w:rPr>
        <w:t xml:space="preserve">Το παρόν </w:t>
      </w:r>
      <w:r w:rsidR="00D72CE6" w:rsidRPr="00C02C6E">
        <w:rPr>
          <w:rFonts w:ascii="Tahoma" w:hAnsi="Tahoma" w:cs="Tahoma"/>
        </w:rPr>
        <w:t>απευθύνεται:</w:t>
      </w:r>
    </w:p>
    <w:p w:rsidR="00153341" w:rsidRPr="00C02C6E" w:rsidRDefault="00D72CE6" w:rsidP="00D41DAC">
      <w:pPr>
        <w:pStyle w:val="a4"/>
        <w:numPr>
          <w:ilvl w:val="0"/>
          <w:numId w:val="2"/>
        </w:numPr>
        <w:spacing w:before="120" w:after="120" w:line="280" w:lineRule="exact"/>
        <w:jc w:val="both"/>
        <w:rPr>
          <w:rFonts w:ascii="Tahoma" w:hAnsi="Tahoma" w:cs="Tahoma"/>
          <w:sz w:val="22"/>
          <w:szCs w:val="22"/>
        </w:rPr>
      </w:pPr>
      <w:r w:rsidRPr="00C02C6E">
        <w:rPr>
          <w:rFonts w:ascii="Tahoma" w:hAnsi="Tahoma" w:cs="Tahoma"/>
          <w:sz w:val="22"/>
          <w:szCs w:val="22"/>
        </w:rPr>
        <w:t>στ</w:t>
      </w:r>
      <w:r w:rsidR="002A0ADD">
        <w:rPr>
          <w:rFonts w:ascii="Tahoma" w:hAnsi="Tahoma" w:cs="Tahoma"/>
          <w:sz w:val="22"/>
          <w:szCs w:val="22"/>
        </w:rPr>
        <w:t>ην</w:t>
      </w:r>
      <w:r w:rsidRPr="00C02C6E">
        <w:rPr>
          <w:rFonts w:ascii="Tahoma" w:hAnsi="Tahoma" w:cs="Tahoma"/>
          <w:sz w:val="22"/>
          <w:szCs w:val="22"/>
        </w:rPr>
        <w:t xml:space="preserve"> αρχ</w:t>
      </w:r>
      <w:r w:rsidR="002A0ADD">
        <w:rPr>
          <w:rFonts w:ascii="Tahoma" w:hAnsi="Tahoma" w:cs="Tahoma"/>
          <w:sz w:val="22"/>
          <w:szCs w:val="22"/>
        </w:rPr>
        <w:t>ή</w:t>
      </w:r>
      <w:r w:rsidRPr="00C02C6E">
        <w:rPr>
          <w:rFonts w:ascii="Tahoma" w:hAnsi="Tahoma" w:cs="Tahoma"/>
          <w:sz w:val="22"/>
          <w:szCs w:val="22"/>
        </w:rPr>
        <w:t xml:space="preserve"> διαχείρισης (Διαχειριστικ</w:t>
      </w:r>
      <w:r w:rsidR="002A0ADD">
        <w:rPr>
          <w:rFonts w:ascii="Tahoma" w:hAnsi="Tahoma" w:cs="Tahoma"/>
          <w:sz w:val="22"/>
          <w:szCs w:val="22"/>
        </w:rPr>
        <w:t>ή</w:t>
      </w:r>
      <w:r w:rsidRPr="00C02C6E">
        <w:rPr>
          <w:rFonts w:ascii="Tahoma" w:hAnsi="Tahoma" w:cs="Tahoma"/>
          <w:sz w:val="22"/>
          <w:szCs w:val="22"/>
        </w:rPr>
        <w:t xml:space="preserve"> Αρχ</w:t>
      </w:r>
      <w:r w:rsidR="002A0ADD">
        <w:rPr>
          <w:rFonts w:ascii="Tahoma" w:hAnsi="Tahoma" w:cs="Tahoma"/>
          <w:sz w:val="22"/>
          <w:szCs w:val="22"/>
        </w:rPr>
        <w:t>ή</w:t>
      </w:r>
      <w:r w:rsidRPr="00C02C6E">
        <w:rPr>
          <w:rFonts w:ascii="Tahoma" w:hAnsi="Tahoma" w:cs="Tahoma"/>
          <w:sz w:val="22"/>
          <w:szCs w:val="22"/>
        </w:rPr>
        <w:t xml:space="preserve"> ή ΕΦ)</w:t>
      </w:r>
      <w:r w:rsidR="00153341" w:rsidRPr="00C02C6E">
        <w:rPr>
          <w:rFonts w:ascii="Tahoma" w:hAnsi="Tahoma" w:cs="Tahoma"/>
          <w:sz w:val="22"/>
          <w:szCs w:val="22"/>
        </w:rPr>
        <w:t xml:space="preserve"> και </w:t>
      </w:r>
    </w:p>
    <w:p w:rsidR="00153341" w:rsidRPr="00C02C6E" w:rsidRDefault="00D72CE6" w:rsidP="00D41DAC">
      <w:pPr>
        <w:pStyle w:val="a4"/>
        <w:numPr>
          <w:ilvl w:val="0"/>
          <w:numId w:val="2"/>
        </w:numPr>
        <w:spacing w:before="120" w:after="120" w:line="280" w:lineRule="exact"/>
        <w:jc w:val="both"/>
        <w:rPr>
          <w:rFonts w:ascii="Tahoma" w:hAnsi="Tahoma" w:cs="Tahoma"/>
          <w:sz w:val="22"/>
          <w:szCs w:val="22"/>
        </w:rPr>
      </w:pPr>
      <w:r w:rsidRPr="00C02C6E">
        <w:rPr>
          <w:rFonts w:ascii="Tahoma" w:hAnsi="Tahoma" w:cs="Tahoma"/>
          <w:sz w:val="22"/>
          <w:szCs w:val="22"/>
        </w:rPr>
        <w:t>στους δυνητικούς δικαιούχους πράξεων δημόσιου χαρακτήρα</w:t>
      </w:r>
    </w:p>
    <w:p w:rsidR="00153341" w:rsidRPr="00C02C6E" w:rsidRDefault="0083773E" w:rsidP="00D41DAC">
      <w:pPr>
        <w:spacing w:before="120" w:after="120" w:line="280" w:lineRule="exact"/>
        <w:contextualSpacing/>
        <w:jc w:val="both"/>
        <w:rPr>
          <w:rFonts w:ascii="Tahoma" w:hAnsi="Tahoma" w:cs="Tahoma"/>
        </w:rPr>
      </w:pPr>
      <w:r w:rsidRPr="00C02C6E">
        <w:rPr>
          <w:rFonts w:ascii="Tahoma" w:hAnsi="Tahoma" w:cs="Tahoma"/>
        </w:rPr>
        <w:t xml:space="preserve">προκειμένου να οργανωθεί με ενιαίο τρόπο η τήρηση των απαιτούμενων </w:t>
      </w:r>
      <w:r w:rsidR="00153341" w:rsidRPr="00C02C6E">
        <w:rPr>
          <w:rFonts w:ascii="Tahoma" w:hAnsi="Tahoma" w:cs="Tahoma"/>
        </w:rPr>
        <w:t xml:space="preserve">αρχείων </w:t>
      </w:r>
      <w:r w:rsidRPr="00C02C6E">
        <w:rPr>
          <w:rFonts w:ascii="Tahoma" w:hAnsi="Tahoma" w:cs="Tahoma"/>
        </w:rPr>
        <w:t>τα οποία εξασφαλίζουν τη διαδρομή ελέγχου</w:t>
      </w:r>
      <w:r w:rsidR="00153341" w:rsidRPr="00C02C6E">
        <w:rPr>
          <w:rFonts w:ascii="Tahoma" w:hAnsi="Tahoma" w:cs="Tahoma"/>
        </w:rPr>
        <w:t xml:space="preserve"> </w:t>
      </w:r>
      <w:r w:rsidR="001A1012" w:rsidRPr="001A1012">
        <w:rPr>
          <w:rFonts w:ascii="Tahoma" w:hAnsi="Tahoma" w:cs="Tahoma"/>
        </w:rPr>
        <w:t>σύμφωνα με τους Κανονισμούς 1303/2013 και 480/2014 και συγκεκριμένα:</w:t>
      </w:r>
    </w:p>
    <w:p w:rsidR="00153341" w:rsidRPr="00C02C6E" w:rsidRDefault="0045079B" w:rsidP="00D41DAC">
      <w:pPr>
        <w:pStyle w:val="a4"/>
        <w:numPr>
          <w:ilvl w:val="0"/>
          <w:numId w:val="57"/>
        </w:numPr>
        <w:spacing w:before="120" w:after="120" w:line="280" w:lineRule="exact"/>
        <w:contextualSpacing w:val="0"/>
        <w:jc w:val="both"/>
        <w:rPr>
          <w:rFonts w:ascii="Tahoma" w:hAnsi="Tahoma" w:cs="Tahoma"/>
          <w:sz w:val="22"/>
          <w:szCs w:val="22"/>
        </w:rPr>
      </w:pPr>
      <w:r>
        <w:rPr>
          <w:rFonts w:ascii="Tahoma" w:hAnsi="Tahoma" w:cs="Tahoma"/>
          <w:sz w:val="22"/>
          <w:szCs w:val="22"/>
        </w:rPr>
        <w:t>Καν 1303/2013</w:t>
      </w:r>
      <w:r w:rsidRPr="0045079B">
        <w:rPr>
          <w:rFonts w:ascii="Tahoma" w:hAnsi="Tahoma" w:cs="Tahoma"/>
          <w:sz w:val="22"/>
          <w:szCs w:val="22"/>
        </w:rPr>
        <w:t xml:space="preserve"> </w:t>
      </w:r>
      <w:r w:rsidR="00153341" w:rsidRPr="00C02C6E">
        <w:rPr>
          <w:rFonts w:ascii="Tahoma" w:hAnsi="Tahoma" w:cs="Tahoma"/>
          <w:sz w:val="22"/>
          <w:szCs w:val="22"/>
        </w:rPr>
        <w:t>Άρθρο 72</w:t>
      </w:r>
      <w:r w:rsidR="004A00B2">
        <w:rPr>
          <w:rFonts w:ascii="Tahoma" w:hAnsi="Tahoma" w:cs="Tahoma"/>
          <w:sz w:val="22"/>
          <w:szCs w:val="22"/>
        </w:rPr>
        <w:t>,</w:t>
      </w:r>
      <w:r w:rsidR="00153341" w:rsidRPr="00C02C6E">
        <w:rPr>
          <w:rFonts w:ascii="Tahoma" w:hAnsi="Tahoma" w:cs="Tahoma"/>
          <w:sz w:val="22"/>
          <w:szCs w:val="22"/>
        </w:rPr>
        <w:t xml:space="preserve"> παρ</w:t>
      </w:r>
      <w:r w:rsidR="004A00B2">
        <w:rPr>
          <w:rFonts w:ascii="Tahoma" w:hAnsi="Tahoma" w:cs="Tahoma"/>
          <w:sz w:val="22"/>
          <w:szCs w:val="22"/>
        </w:rPr>
        <w:t>.</w:t>
      </w:r>
      <w:r w:rsidR="00153341" w:rsidRPr="00C02C6E">
        <w:rPr>
          <w:rFonts w:ascii="Tahoma" w:hAnsi="Tahoma" w:cs="Tahoma"/>
          <w:sz w:val="22"/>
          <w:szCs w:val="22"/>
        </w:rPr>
        <w:t xml:space="preserve"> ζ</w:t>
      </w:r>
      <w:r w:rsidR="00833F69" w:rsidRPr="00C02C6E">
        <w:rPr>
          <w:rFonts w:ascii="Tahoma" w:hAnsi="Tahoma" w:cs="Tahoma"/>
          <w:sz w:val="22"/>
          <w:szCs w:val="22"/>
        </w:rPr>
        <w:t>:</w:t>
      </w:r>
      <w:r w:rsidR="00153341" w:rsidRPr="00C02C6E">
        <w:rPr>
          <w:rFonts w:ascii="Tahoma" w:hAnsi="Tahoma" w:cs="Tahoma"/>
          <w:sz w:val="22"/>
          <w:szCs w:val="22"/>
        </w:rPr>
        <w:t xml:space="preserve"> Στα συστήματα διαχείρισης και ελέγχου περ</w:t>
      </w:r>
      <w:r w:rsidR="00D60BAD">
        <w:rPr>
          <w:rFonts w:ascii="Tahoma" w:hAnsi="Tahoma" w:cs="Tahoma"/>
          <w:sz w:val="22"/>
          <w:szCs w:val="22"/>
        </w:rPr>
        <w:t>ιλαμβάνονται διαδικασίες για τη</w:t>
      </w:r>
      <w:r w:rsidR="00153341" w:rsidRPr="00C02C6E">
        <w:rPr>
          <w:rFonts w:ascii="Tahoma" w:hAnsi="Tahoma" w:cs="Tahoma"/>
          <w:sz w:val="22"/>
          <w:szCs w:val="22"/>
        </w:rPr>
        <w:t xml:space="preserve"> διασφάλιση επαρκούς διαδρομής λογιστικού ελέγχου </w:t>
      </w:r>
    </w:p>
    <w:p w:rsidR="00C40194" w:rsidRPr="00BC231E" w:rsidRDefault="00BC6010" w:rsidP="00CE065E">
      <w:pPr>
        <w:pStyle w:val="CM1"/>
        <w:numPr>
          <w:ilvl w:val="0"/>
          <w:numId w:val="57"/>
        </w:numPr>
        <w:spacing w:before="120" w:after="120" w:line="280" w:lineRule="exact"/>
        <w:ind w:left="714" w:hanging="357"/>
        <w:jc w:val="both"/>
        <w:rPr>
          <w:rFonts w:ascii="Tahoma" w:hAnsi="Tahoma" w:cs="Tahoma"/>
          <w:color w:val="000000"/>
          <w:sz w:val="22"/>
          <w:szCs w:val="22"/>
        </w:rPr>
      </w:pPr>
      <w:r w:rsidRPr="00BC231E">
        <w:rPr>
          <w:rFonts w:ascii="Tahoma" w:hAnsi="Tahoma" w:cs="Tahoma"/>
          <w:sz w:val="22"/>
          <w:szCs w:val="22"/>
        </w:rPr>
        <w:t xml:space="preserve">Καν 1303/2013 </w:t>
      </w:r>
      <w:r w:rsidR="00153341" w:rsidRPr="00BC231E">
        <w:rPr>
          <w:rFonts w:ascii="Tahoma" w:hAnsi="Tahoma" w:cs="Tahoma"/>
          <w:sz w:val="22"/>
          <w:szCs w:val="22"/>
        </w:rPr>
        <w:t>Άρθρο 125</w:t>
      </w:r>
      <w:r w:rsidR="004A00B2">
        <w:rPr>
          <w:rFonts w:ascii="Tahoma" w:hAnsi="Tahoma" w:cs="Tahoma"/>
          <w:sz w:val="22"/>
          <w:szCs w:val="22"/>
        </w:rPr>
        <w:t>, παρ.</w:t>
      </w:r>
      <w:r w:rsidR="00153341" w:rsidRPr="00BC231E">
        <w:rPr>
          <w:rFonts w:ascii="Tahoma" w:hAnsi="Tahoma" w:cs="Tahoma"/>
          <w:sz w:val="22"/>
          <w:szCs w:val="22"/>
        </w:rPr>
        <w:t xml:space="preserve"> 4 </w:t>
      </w:r>
      <w:r w:rsidRPr="00BC231E">
        <w:rPr>
          <w:rFonts w:ascii="Tahoma" w:hAnsi="Tahoma" w:cs="Tahoma"/>
          <w:sz w:val="22"/>
          <w:szCs w:val="22"/>
        </w:rPr>
        <w:t>δ</w:t>
      </w:r>
      <w:r w:rsidR="00833F69" w:rsidRPr="00BC231E">
        <w:rPr>
          <w:rFonts w:ascii="Tahoma" w:hAnsi="Tahoma" w:cs="Tahoma"/>
          <w:sz w:val="22"/>
          <w:szCs w:val="22"/>
        </w:rPr>
        <w:t>:</w:t>
      </w:r>
      <w:r w:rsidR="00C40194" w:rsidRPr="00BC231E">
        <w:rPr>
          <w:rFonts w:ascii="Tahoma" w:hAnsi="Tahoma" w:cs="Tahoma"/>
          <w:sz w:val="22"/>
          <w:szCs w:val="22"/>
        </w:rPr>
        <w:t xml:space="preserve"> Στα καθήκοντα των αρχών διαχείρισης περιλαμβάνεται η θέσπιση </w:t>
      </w:r>
      <w:r w:rsidR="00C40194" w:rsidRPr="00BC231E">
        <w:rPr>
          <w:rFonts w:ascii="Tahoma" w:hAnsi="Tahoma" w:cs="Tahoma"/>
          <w:color w:val="000000"/>
          <w:sz w:val="22"/>
          <w:szCs w:val="22"/>
        </w:rPr>
        <w:t>διαδικασιών</w:t>
      </w:r>
      <w:r w:rsidR="00153341" w:rsidRPr="00BC231E">
        <w:rPr>
          <w:rFonts w:ascii="Tahoma" w:hAnsi="Tahoma" w:cs="Tahoma"/>
          <w:color w:val="000000"/>
          <w:sz w:val="22"/>
          <w:szCs w:val="22"/>
        </w:rPr>
        <w:t xml:space="preserve"> που διασφαλίζουν την τήρηση όλων των εγγράφων σχετικά με τις δαπάνες και τους λογιστικούς ελέγχους που απαιτούνται για τη διασφάλιση επαρκούς διαδρομής ελέγχου, σύμφωνα με τις απαιτήσεις του άρθρου</w:t>
      </w:r>
      <w:r w:rsidRPr="00BC231E">
        <w:rPr>
          <w:rFonts w:ascii="Tahoma" w:hAnsi="Tahoma" w:cs="Tahoma"/>
          <w:color w:val="000000"/>
          <w:sz w:val="22"/>
          <w:szCs w:val="22"/>
        </w:rPr>
        <w:t xml:space="preserve"> </w:t>
      </w:r>
      <w:r w:rsidR="00C40194" w:rsidRPr="00BC231E">
        <w:rPr>
          <w:rFonts w:ascii="Tahoma" w:hAnsi="Tahoma" w:cs="Tahoma"/>
          <w:color w:val="000000"/>
          <w:sz w:val="22"/>
          <w:szCs w:val="22"/>
        </w:rPr>
        <w:t>7</w:t>
      </w:r>
      <w:r w:rsidR="00153341" w:rsidRPr="00BC231E">
        <w:rPr>
          <w:rFonts w:ascii="Tahoma" w:hAnsi="Tahoma" w:cs="Tahoma"/>
          <w:color w:val="000000"/>
          <w:sz w:val="22"/>
          <w:szCs w:val="22"/>
        </w:rPr>
        <w:t>2 στοιχείο ζ)</w:t>
      </w:r>
      <w:r w:rsidR="003711A9" w:rsidRPr="00BC231E">
        <w:rPr>
          <w:rFonts w:ascii="Tahoma" w:hAnsi="Tahoma" w:cs="Tahoma"/>
          <w:color w:val="000000"/>
          <w:sz w:val="22"/>
          <w:szCs w:val="22"/>
        </w:rPr>
        <w:t xml:space="preserve"> </w:t>
      </w:r>
      <w:r w:rsidR="00C40194" w:rsidRPr="00BC231E">
        <w:rPr>
          <w:rFonts w:ascii="Tahoma" w:hAnsi="Tahoma" w:cs="Tahoma"/>
          <w:color w:val="000000"/>
          <w:sz w:val="22"/>
          <w:szCs w:val="22"/>
        </w:rPr>
        <w:t xml:space="preserve">και συστήματος αρχειοθέτησης (Παράρτημα ΧΙΙΙ στοιχείο </w:t>
      </w:r>
      <w:r w:rsidR="00C40194" w:rsidRPr="00BC231E">
        <w:rPr>
          <w:rFonts w:ascii="Tahoma" w:hAnsi="Tahoma" w:cs="Tahoma"/>
          <w:color w:val="000000"/>
          <w:sz w:val="22"/>
          <w:szCs w:val="22"/>
          <w:lang w:val="en-US"/>
        </w:rPr>
        <w:t>vii</w:t>
      </w:r>
      <w:r w:rsidR="00C40194" w:rsidRPr="00BC231E">
        <w:rPr>
          <w:rFonts w:ascii="Tahoma" w:hAnsi="Tahoma" w:cs="Tahoma"/>
          <w:color w:val="000000"/>
          <w:sz w:val="22"/>
          <w:szCs w:val="22"/>
        </w:rPr>
        <w:t>)</w:t>
      </w:r>
    </w:p>
    <w:p w:rsidR="00BC6010" w:rsidRPr="00BC231E" w:rsidRDefault="00BC6010" w:rsidP="00D41DAC">
      <w:pPr>
        <w:pStyle w:val="CM1"/>
        <w:numPr>
          <w:ilvl w:val="0"/>
          <w:numId w:val="57"/>
        </w:numPr>
        <w:spacing w:before="120" w:after="120" w:line="280" w:lineRule="exact"/>
        <w:jc w:val="both"/>
        <w:rPr>
          <w:rFonts w:ascii="Tahoma" w:hAnsi="Tahoma" w:cs="Tahoma"/>
          <w:sz w:val="22"/>
          <w:szCs w:val="22"/>
        </w:rPr>
      </w:pPr>
      <w:r w:rsidRPr="00BC231E">
        <w:rPr>
          <w:rFonts w:ascii="Tahoma" w:hAnsi="Tahoma" w:cs="Tahoma"/>
          <w:sz w:val="22"/>
          <w:szCs w:val="22"/>
        </w:rPr>
        <w:t>Καν 480/2014 άρθρο 25</w:t>
      </w:r>
      <w:r w:rsidR="004A00B2">
        <w:rPr>
          <w:rFonts w:ascii="Tahoma" w:hAnsi="Tahoma" w:cs="Tahoma"/>
          <w:sz w:val="22"/>
          <w:szCs w:val="22"/>
        </w:rPr>
        <w:t>,</w:t>
      </w:r>
      <w:r w:rsidRPr="00BC231E">
        <w:rPr>
          <w:rFonts w:ascii="Tahoma" w:hAnsi="Tahoma" w:cs="Tahoma"/>
          <w:sz w:val="22"/>
          <w:szCs w:val="22"/>
        </w:rPr>
        <w:t xml:space="preserve"> παρ. 2: Η διαχειριστική αρχή εξασφαλίζει ότι υπάρχει διαθέσιμο μητρώο με τα στοιχεία ταυτότητας και τον τόπο εγκατάστασης των φορέων οι οποίοι τηρούν όλα τα δικαιολογητικά έγγραφα που απαιτούνται για την εξασφάλιση επαρκούς διαδρομής ελέγχου που πληροί όλες τις ελάχιστες απαιτήσεις πο</w:t>
      </w:r>
      <w:r w:rsidR="004D39AD" w:rsidRPr="00BC231E">
        <w:rPr>
          <w:rFonts w:ascii="Tahoma" w:hAnsi="Tahoma" w:cs="Tahoma"/>
          <w:sz w:val="22"/>
          <w:szCs w:val="22"/>
        </w:rPr>
        <w:t xml:space="preserve">υ καθορίζονται στην παράγραφο 1 </w:t>
      </w:r>
      <w:r w:rsidR="00BC231E" w:rsidRPr="00BC231E">
        <w:rPr>
          <w:rFonts w:ascii="Tahoma" w:hAnsi="Tahoma" w:cs="Tahoma"/>
          <w:sz w:val="22"/>
          <w:szCs w:val="22"/>
        </w:rPr>
        <w:t>(αναφέρεται στην παρ. 1 του ίδιου άρθρου)</w:t>
      </w:r>
      <w:r w:rsidR="004D39AD" w:rsidRPr="00BC231E">
        <w:rPr>
          <w:rFonts w:ascii="Tahoma" w:hAnsi="Tahoma" w:cs="Tahoma"/>
          <w:sz w:val="22"/>
          <w:szCs w:val="22"/>
        </w:rPr>
        <w:t>.</w:t>
      </w:r>
    </w:p>
    <w:p w:rsidR="00D60BAD" w:rsidRPr="00D60BAD" w:rsidRDefault="00D60BAD" w:rsidP="00D41DAC">
      <w:pPr>
        <w:spacing w:before="120" w:after="120" w:line="280" w:lineRule="exact"/>
        <w:jc w:val="both"/>
        <w:rPr>
          <w:rFonts w:ascii="Tahoma" w:hAnsi="Tahoma" w:cs="Tahoma"/>
        </w:rPr>
      </w:pPr>
      <w:r w:rsidRPr="00D60BAD">
        <w:rPr>
          <w:rFonts w:ascii="Tahoma" w:hAnsi="Tahoma" w:cs="Tahoma"/>
        </w:rPr>
        <w:t xml:space="preserve">Σκοπός του παρόντος εγγράφου είναι η παρουσίαση μίας τυπικής οργάνωσης αρχείων που πρέπει να τηρούνται σε συμφωνία με τις διαδικασίες </w:t>
      </w:r>
      <w:r>
        <w:rPr>
          <w:rFonts w:ascii="Tahoma" w:hAnsi="Tahoma" w:cs="Tahoma"/>
        </w:rPr>
        <w:t>του ΣΔΕ και για το</w:t>
      </w:r>
      <w:r w:rsidRPr="00D60BAD">
        <w:rPr>
          <w:rFonts w:ascii="Tahoma" w:hAnsi="Tahoma" w:cs="Tahoma"/>
        </w:rPr>
        <w:t xml:space="preserve"> λόγο αυτό παρουσιάζονται αναλογικά με αυτές.</w:t>
      </w:r>
    </w:p>
    <w:p w:rsidR="00C02C6E" w:rsidRDefault="00C02C6E" w:rsidP="00D41DAC">
      <w:pPr>
        <w:spacing w:before="120" w:after="120" w:line="280" w:lineRule="exact"/>
        <w:jc w:val="both"/>
        <w:rPr>
          <w:rFonts w:ascii="Tahoma" w:hAnsi="Tahoma" w:cs="Tahoma"/>
        </w:rPr>
      </w:pPr>
      <w:r w:rsidRPr="00C02C6E">
        <w:rPr>
          <w:rFonts w:ascii="Tahoma" w:hAnsi="Tahoma" w:cs="Tahoma"/>
        </w:rPr>
        <w:t xml:space="preserve">Σημειώνεται ότι με τον όρο «αρχείο» </w:t>
      </w:r>
      <w:r w:rsidR="007222CC">
        <w:rPr>
          <w:rFonts w:ascii="Tahoma" w:hAnsi="Tahoma" w:cs="Tahoma"/>
        </w:rPr>
        <w:t>εν</w:t>
      </w:r>
      <w:r w:rsidRPr="00C02C6E">
        <w:rPr>
          <w:rFonts w:ascii="Tahoma" w:hAnsi="Tahoma" w:cs="Tahoma"/>
        </w:rPr>
        <w:t xml:space="preserve">νοούνται τόσο τα έντυπα όσο και τα ηλεκτρονικά στοιχειά συμπεριλαμβανομένων και των αρχείων ήχου/ εικόνας. </w:t>
      </w:r>
      <w:r w:rsidR="004A00B2">
        <w:rPr>
          <w:rFonts w:ascii="Tahoma" w:hAnsi="Tahoma" w:cs="Tahoma"/>
        </w:rPr>
        <w:t>Επίσης,</w:t>
      </w:r>
      <w:r w:rsidRPr="00C02C6E">
        <w:rPr>
          <w:rFonts w:ascii="Tahoma" w:hAnsi="Tahoma" w:cs="Tahoma"/>
        </w:rPr>
        <w:t xml:space="preserve"> τα αποδεικτικά ανάρτησης εγγράφων/δεδομένων σε </w:t>
      </w:r>
      <w:proofErr w:type="spellStart"/>
      <w:r w:rsidRPr="00C02C6E">
        <w:rPr>
          <w:rFonts w:ascii="Tahoma" w:hAnsi="Tahoma" w:cs="Tahoma"/>
        </w:rPr>
        <w:t>ιστότοπους</w:t>
      </w:r>
      <w:proofErr w:type="spellEnd"/>
      <w:r w:rsidRPr="00C02C6E">
        <w:rPr>
          <w:rFonts w:ascii="Tahoma" w:hAnsi="Tahoma" w:cs="Tahoma"/>
        </w:rPr>
        <w:t xml:space="preserve"> (ΔΙΑΥΓΕΙΑ, ΚΗΜΔΗΣ, ΕΣΗΔΗΣ, ΔΑ/Ε</w:t>
      </w:r>
      <w:r w:rsidR="000763FF">
        <w:rPr>
          <w:rFonts w:ascii="Tahoma" w:hAnsi="Tahoma" w:cs="Tahoma"/>
        </w:rPr>
        <w:t>Φ</w:t>
      </w:r>
      <w:r w:rsidR="003711A9">
        <w:rPr>
          <w:rFonts w:ascii="Tahoma" w:hAnsi="Tahoma" w:cs="Tahoma"/>
        </w:rPr>
        <w:t>,</w:t>
      </w:r>
      <w:r w:rsidR="00D71953">
        <w:rPr>
          <w:rFonts w:ascii="Tahoma" w:hAnsi="Tahoma" w:cs="Tahoma"/>
        </w:rPr>
        <w:t xml:space="preserve"> ΕΣΠΑ κλπ</w:t>
      </w:r>
      <w:r w:rsidRPr="00C02C6E">
        <w:rPr>
          <w:rFonts w:ascii="Tahoma" w:hAnsi="Tahoma" w:cs="Tahoma"/>
        </w:rPr>
        <w:t xml:space="preserve">) δεν αναφέρονται στο παρόν, αλλά θα πρέπει </w:t>
      </w:r>
      <w:r w:rsidR="00B06F13">
        <w:rPr>
          <w:rFonts w:ascii="Tahoma" w:hAnsi="Tahoma" w:cs="Tahoma"/>
        </w:rPr>
        <w:t>η ανάρτησ</w:t>
      </w:r>
      <w:r w:rsidR="00DB575C">
        <w:rPr>
          <w:rFonts w:ascii="Tahoma" w:hAnsi="Tahoma" w:cs="Tahoma"/>
        </w:rPr>
        <w:t xml:space="preserve">ή τους </w:t>
      </w:r>
      <w:r w:rsidRPr="00C02C6E">
        <w:rPr>
          <w:rFonts w:ascii="Tahoma" w:hAnsi="Tahoma" w:cs="Tahoma"/>
        </w:rPr>
        <w:t>να αποδεικνύεται</w:t>
      </w:r>
      <w:r w:rsidR="00F84FC4">
        <w:rPr>
          <w:rFonts w:ascii="Tahoma" w:hAnsi="Tahoma" w:cs="Tahoma"/>
        </w:rPr>
        <w:t xml:space="preserve"> από τους εμπλεκόμενους φορείς.</w:t>
      </w:r>
    </w:p>
    <w:p w:rsidR="00EB350B" w:rsidRPr="00C02C6E" w:rsidRDefault="00EB350B" w:rsidP="00D41DAC">
      <w:pPr>
        <w:pStyle w:val="CM3"/>
        <w:spacing w:before="120" w:after="120" w:line="280" w:lineRule="exact"/>
        <w:rPr>
          <w:rFonts w:ascii="Tahoma" w:hAnsi="Tahoma" w:cs="Tahoma"/>
          <w:color w:val="000000"/>
          <w:sz w:val="22"/>
          <w:szCs w:val="22"/>
        </w:rPr>
      </w:pPr>
    </w:p>
    <w:p w:rsidR="00735B0F" w:rsidRPr="002E053C" w:rsidRDefault="00B9513E" w:rsidP="00D41DAC">
      <w:pPr>
        <w:pStyle w:val="1"/>
        <w:spacing w:before="120" w:after="120" w:line="280" w:lineRule="exact"/>
        <w:jc w:val="both"/>
        <w:rPr>
          <w:rFonts w:ascii="Tahoma" w:hAnsi="Tahoma" w:cs="Tahoma"/>
          <w:sz w:val="20"/>
          <w:szCs w:val="20"/>
        </w:rPr>
      </w:pPr>
      <w:bookmarkStart w:id="2" w:name="_Toc430876884"/>
      <w:r w:rsidRPr="002E053C">
        <w:rPr>
          <w:rFonts w:ascii="Tahoma" w:hAnsi="Tahoma" w:cs="Tahoma"/>
          <w:sz w:val="20"/>
          <w:szCs w:val="20"/>
        </w:rPr>
        <w:t>ΔΙΑΡΘΡΩΣΗ</w:t>
      </w:r>
      <w:bookmarkEnd w:id="2"/>
      <w:r w:rsidR="00D72CE6" w:rsidRPr="002E053C">
        <w:rPr>
          <w:rFonts w:ascii="Tahoma" w:hAnsi="Tahoma" w:cs="Tahoma"/>
          <w:sz w:val="20"/>
          <w:szCs w:val="20"/>
        </w:rPr>
        <w:t xml:space="preserve"> </w:t>
      </w:r>
    </w:p>
    <w:p w:rsidR="00164248" w:rsidRPr="002E053C" w:rsidRDefault="00164248" w:rsidP="00D41DAC">
      <w:pPr>
        <w:spacing w:before="120" w:after="120" w:line="280" w:lineRule="exact"/>
        <w:rPr>
          <w:rFonts w:ascii="Tahoma" w:hAnsi="Tahoma" w:cs="Tahoma"/>
        </w:rPr>
      </w:pPr>
      <w:r w:rsidRPr="002E053C">
        <w:rPr>
          <w:rFonts w:ascii="Tahoma" w:hAnsi="Tahoma" w:cs="Tahoma"/>
        </w:rPr>
        <w:t xml:space="preserve">Το </w:t>
      </w:r>
      <w:r w:rsidR="00F84FC4" w:rsidRPr="002E053C">
        <w:rPr>
          <w:rFonts w:ascii="Tahoma" w:hAnsi="Tahoma" w:cs="Tahoma"/>
        </w:rPr>
        <w:t xml:space="preserve">παρόν </w:t>
      </w:r>
      <w:r w:rsidRPr="002E053C">
        <w:rPr>
          <w:rFonts w:ascii="Tahoma" w:hAnsi="Tahoma" w:cs="Tahoma"/>
        </w:rPr>
        <w:t>αποτελείται από έξι υπολογιστικά φύλλα (</w:t>
      </w:r>
      <w:r w:rsidRPr="002E053C">
        <w:rPr>
          <w:rFonts w:ascii="Tahoma" w:hAnsi="Tahoma" w:cs="Tahoma"/>
          <w:lang w:val="en-US"/>
        </w:rPr>
        <w:t>excel</w:t>
      </w:r>
      <w:r w:rsidRPr="002E053C">
        <w:rPr>
          <w:rFonts w:ascii="Tahoma" w:hAnsi="Tahoma" w:cs="Tahoma"/>
        </w:rPr>
        <w:t>) με την εξής διάρθρωση:</w:t>
      </w:r>
    </w:p>
    <w:p w:rsidR="00164248" w:rsidRPr="002E053C" w:rsidRDefault="00164248" w:rsidP="00D41DAC">
      <w:pPr>
        <w:spacing w:before="120" w:after="120" w:line="280" w:lineRule="exact"/>
        <w:ind w:left="357"/>
        <w:rPr>
          <w:rFonts w:ascii="Tahoma" w:hAnsi="Tahoma" w:cs="Tahoma"/>
        </w:rPr>
      </w:pPr>
      <w:r w:rsidRPr="002E053C">
        <w:rPr>
          <w:rFonts w:ascii="Tahoma" w:hAnsi="Tahoma" w:cs="Tahoma"/>
        </w:rPr>
        <w:t>1.Φάκελος πρόσκλησης</w:t>
      </w:r>
    </w:p>
    <w:p w:rsidR="00164248" w:rsidRPr="002E053C" w:rsidRDefault="00164248" w:rsidP="00D41DAC">
      <w:pPr>
        <w:spacing w:before="120" w:after="120" w:line="280" w:lineRule="exact"/>
        <w:ind w:left="357"/>
        <w:rPr>
          <w:rFonts w:ascii="Tahoma" w:hAnsi="Tahoma" w:cs="Tahoma"/>
        </w:rPr>
      </w:pPr>
      <w:r w:rsidRPr="002E053C">
        <w:rPr>
          <w:rFonts w:ascii="Tahoma" w:hAnsi="Tahoma" w:cs="Tahoma"/>
        </w:rPr>
        <w:t>2.Φάκελος πράξης</w:t>
      </w:r>
    </w:p>
    <w:p w:rsidR="00164248" w:rsidRPr="002E053C" w:rsidRDefault="00164248" w:rsidP="00D41DAC">
      <w:pPr>
        <w:spacing w:before="120" w:after="120" w:line="280" w:lineRule="exact"/>
        <w:ind w:left="357"/>
        <w:rPr>
          <w:rFonts w:ascii="Tahoma" w:hAnsi="Tahoma" w:cs="Tahoma"/>
        </w:rPr>
      </w:pPr>
      <w:r w:rsidRPr="002E053C">
        <w:rPr>
          <w:rFonts w:ascii="Tahoma" w:hAnsi="Tahoma" w:cs="Tahoma"/>
        </w:rPr>
        <w:t xml:space="preserve">3.Φάκελος υποέργου δημόσιας σύμβασης </w:t>
      </w:r>
    </w:p>
    <w:p w:rsidR="00654EE5" w:rsidRPr="002E053C" w:rsidRDefault="00164248" w:rsidP="00D41DAC">
      <w:pPr>
        <w:spacing w:before="120" w:after="120" w:line="280" w:lineRule="exact"/>
        <w:ind w:left="357" w:firstLine="491"/>
        <w:rPr>
          <w:rFonts w:ascii="Tahoma" w:hAnsi="Tahoma" w:cs="Tahoma"/>
        </w:rPr>
      </w:pPr>
      <w:r w:rsidRPr="002E053C">
        <w:rPr>
          <w:rFonts w:ascii="Tahoma" w:hAnsi="Tahoma" w:cs="Tahoma"/>
        </w:rPr>
        <w:t xml:space="preserve">3.1 Φάκελος έγκρισης δημοπράτησης </w:t>
      </w:r>
    </w:p>
    <w:p w:rsidR="00654EE5" w:rsidRPr="002E053C" w:rsidRDefault="00654EE5" w:rsidP="00D41DAC">
      <w:pPr>
        <w:spacing w:before="120" w:after="120" w:line="280" w:lineRule="exact"/>
        <w:ind w:left="357" w:firstLine="491"/>
        <w:rPr>
          <w:rFonts w:ascii="Tahoma" w:hAnsi="Tahoma" w:cs="Tahoma"/>
        </w:rPr>
      </w:pPr>
      <w:r w:rsidRPr="002E053C">
        <w:rPr>
          <w:rFonts w:ascii="Tahoma" w:hAnsi="Tahoma" w:cs="Tahoma"/>
        </w:rPr>
        <w:t xml:space="preserve">3.2 Φάκελος έγκρισης ανάληψης νομικής δέσμευσης </w:t>
      </w:r>
    </w:p>
    <w:p w:rsidR="00164248" w:rsidRPr="002E053C" w:rsidRDefault="00654EE5" w:rsidP="00D41DAC">
      <w:pPr>
        <w:spacing w:before="120" w:after="120" w:line="280" w:lineRule="exact"/>
        <w:ind w:left="357" w:firstLine="491"/>
        <w:rPr>
          <w:rFonts w:ascii="Tahoma" w:hAnsi="Tahoma" w:cs="Tahoma"/>
        </w:rPr>
      </w:pPr>
      <w:r w:rsidRPr="002E053C">
        <w:rPr>
          <w:rFonts w:ascii="Tahoma" w:hAnsi="Tahoma" w:cs="Tahoma"/>
        </w:rPr>
        <w:t xml:space="preserve">3.3 Φάκελος προέγκρισης τροποποίησης νομικής δέσμευσης </w:t>
      </w:r>
      <w:r w:rsidR="00164248" w:rsidRPr="002E053C">
        <w:rPr>
          <w:rFonts w:ascii="Tahoma" w:hAnsi="Tahoma" w:cs="Tahoma"/>
        </w:rPr>
        <w:t xml:space="preserve"> </w:t>
      </w:r>
    </w:p>
    <w:p w:rsidR="00654EE5" w:rsidRPr="002E053C" w:rsidRDefault="00654EE5" w:rsidP="00D41DAC">
      <w:pPr>
        <w:spacing w:before="120" w:after="120" w:line="280" w:lineRule="exact"/>
        <w:jc w:val="both"/>
        <w:rPr>
          <w:rFonts w:ascii="Tahoma" w:hAnsi="Tahoma" w:cs="Tahoma"/>
        </w:rPr>
      </w:pPr>
      <w:r w:rsidRPr="002E053C">
        <w:rPr>
          <w:rFonts w:ascii="Tahoma" w:hAnsi="Tahoma" w:cs="Tahoma"/>
        </w:rPr>
        <w:t>Σε κάθε υπολογιστικό φύλλο σημειώνονται τα αρχεία που πρέπει να τηρούνται απ</w:t>
      </w:r>
      <w:r w:rsidR="0045079B" w:rsidRPr="002E053C">
        <w:rPr>
          <w:rFonts w:ascii="Tahoma" w:hAnsi="Tahoma" w:cs="Tahoma"/>
        </w:rPr>
        <w:t>ό τη ΔΑ/ΕΦ και από το</w:t>
      </w:r>
      <w:r w:rsidRPr="002E053C">
        <w:rPr>
          <w:rFonts w:ascii="Tahoma" w:hAnsi="Tahoma" w:cs="Tahoma"/>
        </w:rPr>
        <w:t xml:space="preserve"> δικαιούχο. </w:t>
      </w:r>
    </w:p>
    <w:p w:rsidR="00D16843" w:rsidRPr="002E053C" w:rsidRDefault="00D16843" w:rsidP="00D41DAC">
      <w:pPr>
        <w:spacing w:before="120" w:after="120" w:line="280" w:lineRule="exact"/>
        <w:jc w:val="both"/>
        <w:rPr>
          <w:rFonts w:ascii="Tahoma" w:hAnsi="Tahoma" w:cs="Tahoma"/>
        </w:rPr>
      </w:pPr>
      <w:r w:rsidRPr="002E053C">
        <w:rPr>
          <w:rFonts w:ascii="Tahoma" w:hAnsi="Tahoma" w:cs="Tahoma"/>
        </w:rPr>
        <w:lastRenderedPageBreak/>
        <w:t>Σε περίπτωση προγραμματικής σύμβασης, ως δικαιούχοι, νοούνται και οι δύο συμβαλλόμενοι (κύριος της πράξης και δικαιούχος), και θα πρέπει να σημειώνεται στην στήλη «τόπος τήρησης» η κατάλληλη διεύθυνση.</w:t>
      </w:r>
    </w:p>
    <w:p w:rsidR="00654EE5" w:rsidRDefault="00654EE5" w:rsidP="00D41DAC">
      <w:pPr>
        <w:spacing w:before="120" w:after="120" w:line="280" w:lineRule="exact"/>
        <w:jc w:val="both"/>
        <w:rPr>
          <w:rFonts w:ascii="Tahoma" w:hAnsi="Tahoma" w:cs="Tahoma"/>
        </w:rPr>
      </w:pPr>
      <w:r w:rsidRPr="002E053C">
        <w:rPr>
          <w:rFonts w:ascii="Tahoma" w:hAnsi="Tahoma" w:cs="Tahoma"/>
        </w:rPr>
        <w:t>Στα υπολογιστικά φύλλα 3.1, 3.2 και 3.3 αναφέρονται τα ενδεικτικά στοιχεία των φακέλων προεγκρίσεων</w:t>
      </w:r>
      <w:r w:rsidR="003D3E07" w:rsidRPr="002E053C">
        <w:rPr>
          <w:rFonts w:ascii="Tahoma" w:hAnsi="Tahoma" w:cs="Tahoma"/>
        </w:rPr>
        <w:t xml:space="preserve"> (Διαδικασία ΔΙΙ_2:</w:t>
      </w:r>
      <w:r w:rsidR="00C961BE">
        <w:rPr>
          <w:rFonts w:ascii="Tahoma" w:hAnsi="Tahoma" w:cs="Tahoma"/>
        </w:rPr>
        <w:t xml:space="preserve"> </w:t>
      </w:r>
      <w:r w:rsidR="003D3E07" w:rsidRPr="002E053C">
        <w:rPr>
          <w:rFonts w:ascii="Tahoma" w:hAnsi="Tahoma" w:cs="Tahoma"/>
        </w:rPr>
        <w:t>Έγκριση διακήρυξης, Διαδικασία ΔΙΙ_3:</w:t>
      </w:r>
      <w:r w:rsidR="0045079B" w:rsidRPr="002E053C">
        <w:rPr>
          <w:rFonts w:ascii="Tahoma" w:hAnsi="Tahoma" w:cs="Tahoma"/>
        </w:rPr>
        <w:t xml:space="preserve"> </w:t>
      </w:r>
      <w:r w:rsidR="003D3E07" w:rsidRPr="002E053C">
        <w:rPr>
          <w:rFonts w:ascii="Tahoma" w:hAnsi="Tahoma" w:cs="Tahoma"/>
        </w:rPr>
        <w:t>Έγκριση ανάληψης νομικής δέσμευσης, και Διαδικασία ΔΙΙ_4:</w:t>
      </w:r>
      <w:r w:rsidR="009B7B21">
        <w:rPr>
          <w:rFonts w:ascii="Tahoma" w:hAnsi="Tahoma" w:cs="Tahoma"/>
        </w:rPr>
        <w:t xml:space="preserve"> </w:t>
      </w:r>
      <w:bookmarkStart w:id="3" w:name="_GoBack"/>
      <w:bookmarkEnd w:id="3"/>
      <w:r w:rsidR="003D3E07" w:rsidRPr="002E053C">
        <w:rPr>
          <w:rFonts w:ascii="Tahoma" w:hAnsi="Tahoma" w:cs="Tahoma"/>
        </w:rPr>
        <w:t xml:space="preserve">Προέγκριση τροποποίησης νομικής δέσμευσης). </w:t>
      </w:r>
      <w:r w:rsidR="00F84FC4" w:rsidRPr="002E053C">
        <w:rPr>
          <w:rFonts w:ascii="Tahoma" w:hAnsi="Tahoma" w:cs="Tahoma"/>
        </w:rPr>
        <w:t>Η ΔΑ/</w:t>
      </w:r>
      <w:r w:rsidR="003D3E07" w:rsidRPr="002E053C">
        <w:rPr>
          <w:rFonts w:ascii="Tahoma" w:hAnsi="Tahoma" w:cs="Tahoma"/>
        </w:rPr>
        <w:t>ΕΦ θα καθορίσει το περιεχόμενο των φακέλων αυτών με βάση τα απαιτούμενα στοι</w:t>
      </w:r>
      <w:r w:rsidR="001642A2" w:rsidRPr="002E053C">
        <w:rPr>
          <w:rFonts w:ascii="Tahoma" w:hAnsi="Tahoma" w:cs="Tahoma"/>
        </w:rPr>
        <w:t>χεία</w:t>
      </w:r>
      <w:r w:rsidR="003D3E07" w:rsidRPr="002E053C">
        <w:rPr>
          <w:rFonts w:ascii="Tahoma" w:hAnsi="Tahoma" w:cs="Tahoma"/>
        </w:rPr>
        <w:t xml:space="preserve"> από </w:t>
      </w:r>
      <w:r w:rsidR="00F84FC4" w:rsidRPr="002E053C">
        <w:rPr>
          <w:rFonts w:ascii="Tahoma" w:hAnsi="Tahoma" w:cs="Tahoma"/>
        </w:rPr>
        <w:t>τις αντίστοιχες λίστες εξέτασης</w:t>
      </w:r>
      <w:r w:rsidR="003D3E07" w:rsidRPr="002E053C">
        <w:rPr>
          <w:rFonts w:ascii="Tahoma" w:hAnsi="Tahoma" w:cs="Tahoma"/>
        </w:rPr>
        <w:t>.</w:t>
      </w:r>
      <w:r w:rsidR="003D3E07">
        <w:rPr>
          <w:rFonts w:ascii="Tahoma" w:hAnsi="Tahoma" w:cs="Tahoma"/>
        </w:rPr>
        <w:t xml:space="preserve">  </w:t>
      </w:r>
    </w:p>
    <w:p w:rsidR="00654EE5" w:rsidRDefault="00654EE5" w:rsidP="00D41DAC">
      <w:pPr>
        <w:spacing w:before="120" w:after="120" w:line="280" w:lineRule="exact"/>
        <w:rPr>
          <w:rFonts w:ascii="Tahoma" w:hAnsi="Tahoma" w:cs="Tahoma"/>
        </w:rPr>
      </w:pPr>
    </w:p>
    <w:p w:rsidR="00F209D6" w:rsidRPr="00F209D6" w:rsidRDefault="00D72CE6" w:rsidP="00D41DAC">
      <w:pPr>
        <w:spacing w:before="120" w:after="120" w:line="280" w:lineRule="exact"/>
        <w:jc w:val="both"/>
        <w:rPr>
          <w:rFonts w:ascii="Tahoma" w:hAnsi="Tahoma" w:cs="Tahoma"/>
          <w:sz w:val="20"/>
          <w:szCs w:val="20"/>
        </w:rPr>
      </w:pPr>
      <w:r w:rsidRPr="00F209D6">
        <w:rPr>
          <w:rFonts w:ascii="Tahoma" w:hAnsi="Tahoma" w:cs="Tahoma"/>
          <w:sz w:val="20"/>
          <w:szCs w:val="20"/>
        </w:rPr>
        <w:t xml:space="preserve"> </w:t>
      </w:r>
    </w:p>
    <w:sectPr w:rsidR="00F209D6" w:rsidRPr="00F209D6" w:rsidSect="0000111F">
      <w:footerReference w:type="default" r:id="rId9"/>
      <w:pgSz w:w="11906" w:h="16838"/>
      <w:pgMar w:top="1134" w:right="1247" w:bottom="1418" w:left="1418" w:header="709" w:footer="8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D2" w:rsidRDefault="00BA1BD2" w:rsidP="005401A4">
      <w:pPr>
        <w:spacing w:after="0" w:line="240" w:lineRule="auto"/>
      </w:pPr>
      <w:r>
        <w:separator/>
      </w:r>
    </w:p>
  </w:endnote>
  <w:endnote w:type="continuationSeparator" w:id="0">
    <w:p w:rsidR="00BA1BD2" w:rsidRDefault="00BA1BD2"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E053C" w:rsidRPr="00CB47BE" w:rsidTr="009962AC">
      <w:trPr>
        <w:jc w:val="center"/>
      </w:trPr>
      <w:tc>
        <w:tcPr>
          <w:tcW w:w="3383" w:type="dxa"/>
          <w:shd w:val="clear" w:color="auto" w:fill="auto"/>
        </w:tcPr>
        <w:p w:rsidR="002E053C" w:rsidRPr="0000111F" w:rsidRDefault="0000111F" w:rsidP="0000111F">
          <w:pPr>
            <w:spacing w:before="480" w:after="0"/>
            <w:rPr>
              <w:rFonts w:ascii="Tahoma" w:hAnsi="Tahoma" w:cs="Tahoma"/>
              <w:bCs/>
              <w:sz w:val="18"/>
              <w:szCs w:val="18"/>
            </w:rPr>
          </w:pPr>
          <w:r w:rsidRPr="0000111F">
            <w:rPr>
              <w:rFonts w:ascii="Tahoma" w:hAnsi="Tahoma" w:cs="Tahoma"/>
              <w:bCs/>
              <w:sz w:val="18"/>
              <w:szCs w:val="18"/>
            </w:rPr>
            <w:t>ΦΑΚΕΛΟΣ ΠΡΑΞΗΣ</w:t>
          </w:r>
        </w:p>
      </w:tc>
      <w:tc>
        <w:tcPr>
          <w:tcW w:w="2850" w:type="dxa"/>
          <w:shd w:val="clear" w:color="auto" w:fill="auto"/>
          <w:vAlign w:val="center"/>
        </w:tcPr>
        <w:p w:rsidR="002E053C" w:rsidRPr="007253AC" w:rsidRDefault="002E053C" w:rsidP="009962AC">
          <w:pPr>
            <w:ind w:left="400"/>
            <w:jc w:val="center"/>
            <w:rPr>
              <w:rFonts w:ascii="Tahoma" w:hAnsi="Tahoma" w:cs="Tahoma"/>
              <w:bCs/>
              <w:sz w:val="16"/>
              <w:szCs w:val="16"/>
            </w:rPr>
          </w:pPr>
        </w:p>
        <w:p w:rsidR="002E053C" w:rsidRPr="007253AC" w:rsidRDefault="002E053C" w:rsidP="009962AC">
          <w:pPr>
            <w:jc w:val="center"/>
            <w:rPr>
              <w:rFonts w:ascii="Tahoma" w:hAnsi="Tahoma" w:cs="Tahoma"/>
              <w:bCs/>
              <w:sz w:val="16"/>
              <w:szCs w:val="16"/>
            </w:rPr>
          </w:pPr>
        </w:p>
      </w:tc>
      <w:tc>
        <w:tcPr>
          <w:tcW w:w="2798" w:type="dxa"/>
          <w:shd w:val="clear" w:color="auto" w:fill="auto"/>
          <w:vAlign w:val="center"/>
        </w:tcPr>
        <w:p w:rsidR="002E053C" w:rsidRPr="00CB47BE" w:rsidRDefault="009B7B21" w:rsidP="009962AC">
          <w:pPr>
            <w:jc w:val="right"/>
            <w:rPr>
              <w:bCs/>
              <w:szCs w:val="20"/>
            </w:rPr>
          </w:pPr>
          <w:r w:rsidRPr="0000111F">
            <w:rPr>
              <w:rFonts w:ascii="Tahoma" w:hAnsi="Tahoma" w:cs="Tahoma"/>
              <w:bCs/>
              <w:sz w:val="18"/>
              <w:szCs w:val="18"/>
            </w:rPr>
            <w:t xml:space="preserve">- </w:t>
          </w:r>
          <w:r w:rsidRPr="0000111F">
            <w:rPr>
              <w:rFonts w:ascii="Tahoma" w:hAnsi="Tahoma" w:cs="Tahoma"/>
              <w:bCs/>
              <w:sz w:val="18"/>
              <w:szCs w:val="18"/>
            </w:rPr>
            <w:fldChar w:fldCharType="begin"/>
          </w:r>
          <w:r w:rsidRPr="0000111F">
            <w:rPr>
              <w:rFonts w:ascii="Tahoma" w:hAnsi="Tahoma" w:cs="Tahoma"/>
              <w:bCs/>
              <w:sz w:val="18"/>
              <w:szCs w:val="18"/>
            </w:rPr>
            <w:instrText xml:space="preserve"> PAGE </w:instrText>
          </w:r>
          <w:r w:rsidRPr="0000111F">
            <w:rPr>
              <w:rFonts w:ascii="Tahoma" w:hAnsi="Tahoma" w:cs="Tahoma"/>
              <w:bCs/>
              <w:sz w:val="18"/>
              <w:szCs w:val="18"/>
            </w:rPr>
            <w:fldChar w:fldCharType="separate"/>
          </w:r>
          <w:r>
            <w:rPr>
              <w:rFonts w:ascii="Tahoma" w:hAnsi="Tahoma" w:cs="Tahoma"/>
              <w:bCs/>
              <w:noProof/>
              <w:sz w:val="18"/>
              <w:szCs w:val="18"/>
            </w:rPr>
            <w:t>2</w:t>
          </w:r>
          <w:r w:rsidRPr="0000111F">
            <w:rPr>
              <w:rFonts w:ascii="Tahoma" w:hAnsi="Tahoma" w:cs="Tahoma"/>
              <w:bCs/>
              <w:sz w:val="18"/>
              <w:szCs w:val="18"/>
            </w:rPr>
            <w:fldChar w:fldCharType="end"/>
          </w:r>
          <w:r w:rsidRPr="007253AC">
            <w:rPr>
              <w:rFonts w:ascii="Tahoma" w:hAnsi="Tahoma" w:cs="Tahoma"/>
              <w:bCs/>
              <w:sz w:val="16"/>
              <w:szCs w:val="16"/>
            </w:rPr>
            <w:t xml:space="preserve"> -</w:t>
          </w:r>
        </w:p>
      </w:tc>
    </w:tr>
  </w:tbl>
  <w:p w:rsidR="002E053C" w:rsidRPr="002E053C" w:rsidRDefault="002E053C" w:rsidP="002E05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D2" w:rsidRDefault="00BA1BD2" w:rsidP="005401A4">
      <w:pPr>
        <w:spacing w:after="0" w:line="240" w:lineRule="auto"/>
      </w:pPr>
      <w:r>
        <w:separator/>
      </w:r>
    </w:p>
  </w:footnote>
  <w:footnote w:type="continuationSeparator" w:id="0">
    <w:p w:rsidR="00BA1BD2" w:rsidRDefault="00BA1BD2" w:rsidP="0054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9812AF"/>
    <w:multiLevelType w:val="hybridMultilevel"/>
    <w:tmpl w:val="C8CCD1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303C90"/>
    <w:multiLevelType w:val="hybridMultilevel"/>
    <w:tmpl w:val="D83C05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2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21">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7">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7">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1">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3">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3"/>
  </w:num>
  <w:num w:numId="2">
    <w:abstractNumId w:val="40"/>
  </w:num>
  <w:num w:numId="3">
    <w:abstractNumId w:val="41"/>
  </w:num>
  <w:num w:numId="4">
    <w:abstractNumId w:val="37"/>
  </w:num>
  <w:num w:numId="5">
    <w:abstractNumId w:val="52"/>
  </w:num>
  <w:num w:numId="6">
    <w:abstractNumId w:val="45"/>
  </w:num>
  <w:num w:numId="7">
    <w:abstractNumId w:val="26"/>
  </w:num>
  <w:num w:numId="8">
    <w:abstractNumId w:val="39"/>
  </w:num>
  <w:num w:numId="9">
    <w:abstractNumId w:val="27"/>
  </w:num>
  <w:num w:numId="10">
    <w:abstractNumId w:val="10"/>
  </w:num>
  <w:num w:numId="11">
    <w:abstractNumId w:val="25"/>
  </w:num>
  <w:num w:numId="12">
    <w:abstractNumId w:val="28"/>
  </w:num>
  <w:num w:numId="13">
    <w:abstractNumId w:val="32"/>
  </w:num>
  <w:num w:numId="14">
    <w:abstractNumId w:val="14"/>
  </w:num>
  <w:num w:numId="15">
    <w:abstractNumId w:val="49"/>
  </w:num>
  <w:num w:numId="16">
    <w:abstractNumId w:val="23"/>
  </w:num>
  <w:num w:numId="17">
    <w:abstractNumId w:val="56"/>
  </w:num>
  <w:num w:numId="18">
    <w:abstractNumId w:val="15"/>
  </w:num>
  <w:num w:numId="19">
    <w:abstractNumId w:val="19"/>
  </w:num>
  <w:num w:numId="20">
    <w:abstractNumId w:val="0"/>
  </w:num>
  <w:num w:numId="21">
    <w:abstractNumId w:val="36"/>
  </w:num>
  <w:num w:numId="22">
    <w:abstractNumId w:val="5"/>
  </w:num>
  <w:num w:numId="23">
    <w:abstractNumId w:val="9"/>
  </w:num>
  <w:num w:numId="24">
    <w:abstractNumId w:val="6"/>
  </w:num>
  <w:num w:numId="25">
    <w:abstractNumId w:val="29"/>
  </w:num>
  <w:num w:numId="26">
    <w:abstractNumId w:val="24"/>
  </w:num>
  <w:num w:numId="27">
    <w:abstractNumId w:val="35"/>
  </w:num>
  <w:num w:numId="28">
    <w:abstractNumId w:val="18"/>
  </w:num>
  <w:num w:numId="29">
    <w:abstractNumId w:val="17"/>
  </w:num>
  <w:num w:numId="30">
    <w:abstractNumId w:val="43"/>
  </w:num>
  <w:num w:numId="31">
    <w:abstractNumId w:val="34"/>
  </w:num>
  <w:num w:numId="32">
    <w:abstractNumId w:val="47"/>
  </w:num>
  <w:num w:numId="33">
    <w:abstractNumId w:val="30"/>
  </w:num>
  <w:num w:numId="34">
    <w:abstractNumId w:val="7"/>
  </w:num>
  <w:num w:numId="35">
    <w:abstractNumId w:val="3"/>
  </w:num>
  <w:num w:numId="36">
    <w:abstractNumId w:val="48"/>
  </w:num>
  <w:num w:numId="37">
    <w:abstractNumId w:val="46"/>
  </w:num>
  <w:num w:numId="38">
    <w:abstractNumId w:val="38"/>
  </w:num>
  <w:num w:numId="39">
    <w:abstractNumId w:val="51"/>
  </w:num>
  <w:num w:numId="40">
    <w:abstractNumId w:val="8"/>
  </w:num>
  <w:num w:numId="41">
    <w:abstractNumId w:val="11"/>
  </w:num>
  <w:num w:numId="42">
    <w:abstractNumId w:val="20"/>
  </w:num>
  <w:num w:numId="43">
    <w:abstractNumId w:val="55"/>
  </w:num>
  <w:num w:numId="44">
    <w:abstractNumId w:val="31"/>
  </w:num>
  <w:num w:numId="45">
    <w:abstractNumId w:val="16"/>
  </w:num>
  <w:num w:numId="46">
    <w:abstractNumId w:val="57"/>
  </w:num>
  <w:num w:numId="47">
    <w:abstractNumId w:val="21"/>
  </w:num>
  <w:num w:numId="48">
    <w:abstractNumId w:val="53"/>
  </w:num>
  <w:num w:numId="49">
    <w:abstractNumId w:val="22"/>
  </w:num>
  <w:num w:numId="50">
    <w:abstractNumId w:val="44"/>
  </w:num>
  <w:num w:numId="51">
    <w:abstractNumId w:val="13"/>
  </w:num>
  <w:num w:numId="52">
    <w:abstractNumId w:val="2"/>
  </w:num>
  <w:num w:numId="53">
    <w:abstractNumId w:val="54"/>
  </w:num>
  <w:num w:numId="54">
    <w:abstractNumId w:val="50"/>
  </w:num>
  <w:num w:numId="55">
    <w:abstractNumId w:val="1"/>
  </w:num>
  <w:num w:numId="56">
    <w:abstractNumId w:val="42"/>
  </w:num>
  <w:num w:numId="57">
    <w:abstractNumId w:val="12"/>
  </w:num>
  <w:num w:numId="58">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2"/>
    <w:rsid w:val="0000111F"/>
    <w:rsid w:val="000034D9"/>
    <w:rsid w:val="000043A8"/>
    <w:rsid w:val="000067AF"/>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0B5A"/>
    <w:rsid w:val="00063E3D"/>
    <w:rsid w:val="00064157"/>
    <w:rsid w:val="000654C5"/>
    <w:rsid w:val="00065EE4"/>
    <w:rsid w:val="00067761"/>
    <w:rsid w:val="00072988"/>
    <w:rsid w:val="000763FF"/>
    <w:rsid w:val="00080046"/>
    <w:rsid w:val="000840A6"/>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38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1AA1"/>
    <w:rsid w:val="00153341"/>
    <w:rsid w:val="001545AF"/>
    <w:rsid w:val="00154FBA"/>
    <w:rsid w:val="00160686"/>
    <w:rsid w:val="00164248"/>
    <w:rsid w:val="001642A2"/>
    <w:rsid w:val="001739AB"/>
    <w:rsid w:val="00176175"/>
    <w:rsid w:val="001836E7"/>
    <w:rsid w:val="0019096B"/>
    <w:rsid w:val="00195326"/>
    <w:rsid w:val="0019630F"/>
    <w:rsid w:val="001A1012"/>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6C6B"/>
    <w:rsid w:val="00206E7B"/>
    <w:rsid w:val="00210C1C"/>
    <w:rsid w:val="002118A7"/>
    <w:rsid w:val="00211DF5"/>
    <w:rsid w:val="002140AA"/>
    <w:rsid w:val="002156C2"/>
    <w:rsid w:val="002156FB"/>
    <w:rsid w:val="0021793F"/>
    <w:rsid w:val="0022214D"/>
    <w:rsid w:val="002228F3"/>
    <w:rsid w:val="00227401"/>
    <w:rsid w:val="00231E85"/>
    <w:rsid w:val="002366FB"/>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0ADD"/>
    <w:rsid w:val="002A30ED"/>
    <w:rsid w:val="002A5F97"/>
    <w:rsid w:val="002A7126"/>
    <w:rsid w:val="002B3867"/>
    <w:rsid w:val="002B3A11"/>
    <w:rsid w:val="002C18A9"/>
    <w:rsid w:val="002C25F8"/>
    <w:rsid w:val="002C409C"/>
    <w:rsid w:val="002C450E"/>
    <w:rsid w:val="002D3E9A"/>
    <w:rsid w:val="002D4DF1"/>
    <w:rsid w:val="002E053C"/>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3626F"/>
    <w:rsid w:val="00351717"/>
    <w:rsid w:val="00353044"/>
    <w:rsid w:val="0036326F"/>
    <w:rsid w:val="003637ED"/>
    <w:rsid w:val="003710EC"/>
    <w:rsid w:val="003711A9"/>
    <w:rsid w:val="00373064"/>
    <w:rsid w:val="003754C8"/>
    <w:rsid w:val="00376093"/>
    <w:rsid w:val="0038012B"/>
    <w:rsid w:val="003807F6"/>
    <w:rsid w:val="00382394"/>
    <w:rsid w:val="00386DE6"/>
    <w:rsid w:val="00390284"/>
    <w:rsid w:val="00390A1E"/>
    <w:rsid w:val="003941D9"/>
    <w:rsid w:val="00394A1C"/>
    <w:rsid w:val="00394E4A"/>
    <w:rsid w:val="003A0C5C"/>
    <w:rsid w:val="003A1B43"/>
    <w:rsid w:val="003A5B1C"/>
    <w:rsid w:val="003B1334"/>
    <w:rsid w:val="003B153A"/>
    <w:rsid w:val="003B38D3"/>
    <w:rsid w:val="003B4028"/>
    <w:rsid w:val="003B599A"/>
    <w:rsid w:val="003B5E9C"/>
    <w:rsid w:val="003C0610"/>
    <w:rsid w:val="003C773E"/>
    <w:rsid w:val="003D05E2"/>
    <w:rsid w:val="003D3E07"/>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079B"/>
    <w:rsid w:val="00452F5A"/>
    <w:rsid w:val="00454FC2"/>
    <w:rsid w:val="00457076"/>
    <w:rsid w:val="00465054"/>
    <w:rsid w:val="00472BAD"/>
    <w:rsid w:val="00472E94"/>
    <w:rsid w:val="00473530"/>
    <w:rsid w:val="0047699B"/>
    <w:rsid w:val="00486D10"/>
    <w:rsid w:val="004876B0"/>
    <w:rsid w:val="004931B1"/>
    <w:rsid w:val="004A00B2"/>
    <w:rsid w:val="004A5B4C"/>
    <w:rsid w:val="004B16C6"/>
    <w:rsid w:val="004B3546"/>
    <w:rsid w:val="004B3CC4"/>
    <w:rsid w:val="004B7BCF"/>
    <w:rsid w:val="004C0C73"/>
    <w:rsid w:val="004C1581"/>
    <w:rsid w:val="004C2955"/>
    <w:rsid w:val="004C4750"/>
    <w:rsid w:val="004D0F3F"/>
    <w:rsid w:val="004D39AD"/>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046"/>
    <w:rsid w:val="00623350"/>
    <w:rsid w:val="00625215"/>
    <w:rsid w:val="00626402"/>
    <w:rsid w:val="00632DB3"/>
    <w:rsid w:val="00633BC8"/>
    <w:rsid w:val="006363BC"/>
    <w:rsid w:val="006413FB"/>
    <w:rsid w:val="006417E4"/>
    <w:rsid w:val="0064280C"/>
    <w:rsid w:val="00642F87"/>
    <w:rsid w:val="006542BB"/>
    <w:rsid w:val="00654EE5"/>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22CC"/>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0A48"/>
    <w:rsid w:val="007A6B3B"/>
    <w:rsid w:val="007B3CC6"/>
    <w:rsid w:val="007B3EBA"/>
    <w:rsid w:val="007B7F79"/>
    <w:rsid w:val="007C07D7"/>
    <w:rsid w:val="007C2BE9"/>
    <w:rsid w:val="007C4961"/>
    <w:rsid w:val="007E4FBD"/>
    <w:rsid w:val="007E508D"/>
    <w:rsid w:val="007F4178"/>
    <w:rsid w:val="00800052"/>
    <w:rsid w:val="00801977"/>
    <w:rsid w:val="008020E8"/>
    <w:rsid w:val="008046C0"/>
    <w:rsid w:val="008139A9"/>
    <w:rsid w:val="00813A80"/>
    <w:rsid w:val="00814086"/>
    <w:rsid w:val="0081434A"/>
    <w:rsid w:val="00814884"/>
    <w:rsid w:val="008176AE"/>
    <w:rsid w:val="00833F69"/>
    <w:rsid w:val="0083773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0AB3"/>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47A10"/>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B7B21"/>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3BA"/>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97DCD"/>
    <w:rsid w:val="00AA42C5"/>
    <w:rsid w:val="00AA6E11"/>
    <w:rsid w:val="00AB2E26"/>
    <w:rsid w:val="00AC0A3C"/>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06F13"/>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9513E"/>
    <w:rsid w:val="00BA0B6F"/>
    <w:rsid w:val="00BA1BD2"/>
    <w:rsid w:val="00BA5ADE"/>
    <w:rsid w:val="00BA5D02"/>
    <w:rsid w:val="00BB1585"/>
    <w:rsid w:val="00BB3140"/>
    <w:rsid w:val="00BB5113"/>
    <w:rsid w:val="00BB7236"/>
    <w:rsid w:val="00BC0EC5"/>
    <w:rsid w:val="00BC18A9"/>
    <w:rsid w:val="00BC231E"/>
    <w:rsid w:val="00BC6010"/>
    <w:rsid w:val="00BD05D6"/>
    <w:rsid w:val="00BD2DAD"/>
    <w:rsid w:val="00BD2EE3"/>
    <w:rsid w:val="00BF65E9"/>
    <w:rsid w:val="00BF7072"/>
    <w:rsid w:val="00C01D5B"/>
    <w:rsid w:val="00C02C6E"/>
    <w:rsid w:val="00C04E85"/>
    <w:rsid w:val="00C05C57"/>
    <w:rsid w:val="00C134C4"/>
    <w:rsid w:val="00C20395"/>
    <w:rsid w:val="00C221F3"/>
    <w:rsid w:val="00C23EFB"/>
    <w:rsid w:val="00C24BA1"/>
    <w:rsid w:val="00C2797D"/>
    <w:rsid w:val="00C301C9"/>
    <w:rsid w:val="00C30B62"/>
    <w:rsid w:val="00C35892"/>
    <w:rsid w:val="00C40194"/>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961BE"/>
    <w:rsid w:val="00CA2EE0"/>
    <w:rsid w:val="00CB183A"/>
    <w:rsid w:val="00CC2C43"/>
    <w:rsid w:val="00CC4239"/>
    <w:rsid w:val="00CC5DE3"/>
    <w:rsid w:val="00CC5EE7"/>
    <w:rsid w:val="00CD3352"/>
    <w:rsid w:val="00CE065E"/>
    <w:rsid w:val="00CE42B8"/>
    <w:rsid w:val="00CE4695"/>
    <w:rsid w:val="00CF2E4B"/>
    <w:rsid w:val="00CF412E"/>
    <w:rsid w:val="00CF5174"/>
    <w:rsid w:val="00CF78A2"/>
    <w:rsid w:val="00D00065"/>
    <w:rsid w:val="00D00C10"/>
    <w:rsid w:val="00D0167A"/>
    <w:rsid w:val="00D102E8"/>
    <w:rsid w:val="00D1132D"/>
    <w:rsid w:val="00D16843"/>
    <w:rsid w:val="00D16D43"/>
    <w:rsid w:val="00D173B1"/>
    <w:rsid w:val="00D204A1"/>
    <w:rsid w:val="00D222C7"/>
    <w:rsid w:val="00D249A7"/>
    <w:rsid w:val="00D26D31"/>
    <w:rsid w:val="00D27349"/>
    <w:rsid w:val="00D32CD0"/>
    <w:rsid w:val="00D35616"/>
    <w:rsid w:val="00D41DAC"/>
    <w:rsid w:val="00D42209"/>
    <w:rsid w:val="00D47662"/>
    <w:rsid w:val="00D51A68"/>
    <w:rsid w:val="00D52023"/>
    <w:rsid w:val="00D54DF2"/>
    <w:rsid w:val="00D60BAD"/>
    <w:rsid w:val="00D63ED0"/>
    <w:rsid w:val="00D64C59"/>
    <w:rsid w:val="00D71953"/>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575C"/>
    <w:rsid w:val="00DB63A8"/>
    <w:rsid w:val="00DC296D"/>
    <w:rsid w:val="00DC3BB0"/>
    <w:rsid w:val="00DD1482"/>
    <w:rsid w:val="00DD4AC8"/>
    <w:rsid w:val="00DD4D18"/>
    <w:rsid w:val="00DD5E79"/>
    <w:rsid w:val="00DE3456"/>
    <w:rsid w:val="00DE3545"/>
    <w:rsid w:val="00DE4711"/>
    <w:rsid w:val="00DF1ABA"/>
    <w:rsid w:val="00E002C0"/>
    <w:rsid w:val="00E04701"/>
    <w:rsid w:val="00E119F8"/>
    <w:rsid w:val="00E157DD"/>
    <w:rsid w:val="00E160B1"/>
    <w:rsid w:val="00E21231"/>
    <w:rsid w:val="00E23FB9"/>
    <w:rsid w:val="00E26242"/>
    <w:rsid w:val="00E26302"/>
    <w:rsid w:val="00E30045"/>
    <w:rsid w:val="00E326A3"/>
    <w:rsid w:val="00E3516F"/>
    <w:rsid w:val="00E42FB4"/>
    <w:rsid w:val="00E43D8E"/>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B350B"/>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84FC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2"/>
    <w:next w:val="ac"/>
    <w:uiPriority w:val="59"/>
    <w:rsid w:val="00B77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 w:type="paragraph" w:customStyle="1" w:styleId="CM1">
    <w:name w:val="CM1"/>
    <w:basedOn w:val="a0"/>
    <w:next w:val="a0"/>
    <w:uiPriority w:val="99"/>
    <w:rsid w:val="0015334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153341"/>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2"/>
    <w:next w:val="ac"/>
    <w:uiPriority w:val="59"/>
    <w:rsid w:val="00B77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 w:type="paragraph" w:customStyle="1" w:styleId="CM1">
    <w:name w:val="CM1"/>
    <w:basedOn w:val="a0"/>
    <w:next w:val="a0"/>
    <w:uiPriority w:val="99"/>
    <w:rsid w:val="0015334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153341"/>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56"/>
    <w:rsid w:val="00B231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1010EC083A494F86EA27A80ABFA8BA">
    <w:name w:val="051010EC083A494F86EA27A80ABFA8BA"/>
    <w:rsid w:val="00B23156"/>
  </w:style>
  <w:style w:type="paragraph" w:customStyle="1" w:styleId="866DFA5C25E9436ABA92477A70D02977">
    <w:name w:val="866DFA5C25E9436ABA92477A70D02977"/>
    <w:rsid w:val="00B23156"/>
  </w:style>
  <w:style w:type="paragraph" w:customStyle="1" w:styleId="BEEBDA77119B46F4B2524B34C8AB4040">
    <w:name w:val="BEEBDA77119B46F4B2524B34C8AB4040"/>
    <w:rsid w:val="00B23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1010EC083A494F86EA27A80ABFA8BA">
    <w:name w:val="051010EC083A494F86EA27A80ABFA8BA"/>
    <w:rsid w:val="00B23156"/>
  </w:style>
  <w:style w:type="paragraph" w:customStyle="1" w:styleId="866DFA5C25E9436ABA92477A70D02977">
    <w:name w:val="866DFA5C25E9436ABA92477A70D02977"/>
    <w:rsid w:val="00B23156"/>
  </w:style>
  <w:style w:type="paragraph" w:customStyle="1" w:styleId="BEEBDA77119B46F4B2524B34C8AB4040">
    <w:name w:val="BEEBDA77119B46F4B2524B34C8AB4040"/>
    <w:rsid w:val="00B2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000D-C45E-4773-9C4E-E6C2E13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457</Words>
  <Characters>2472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PFletsiou</cp:lastModifiedBy>
  <cp:revision>7</cp:revision>
  <cp:lastPrinted>2016-11-16T07:24:00Z</cp:lastPrinted>
  <dcterms:created xsi:type="dcterms:W3CDTF">2016-11-11T06:28:00Z</dcterms:created>
  <dcterms:modified xsi:type="dcterms:W3CDTF">2016-11-16T07:25:00Z</dcterms:modified>
</cp:coreProperties>
</file>