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EE" w:rsidRPr="000D27DD" w:rsidRDefault="00B3226D" w:rsidP="00B3226D">
      <w:pPr>
        <w:pStyle w:val="a8"/>
        <w:tabs>
          <w:tab w:val="clear" w:pos="4153"/>
          <w:tab w:val="clear" w:pos="8306"/>
        </w:tabs>
        <w:jc w:val="both"/>
        <w:rPr>
          <w:rFonts w:ascii="Tahoma" w:hAnsi="Tahoma" w:cs="Tahoma"/>
          <w:b/>
          <w:color w:val="990000"/>
          <w:sz w:val="20"/>
          <w:szCs w:val="20"/>
        </w:rPr>
      </w:pPr>
      <w:r w:rsidRPr="000D27DD">
        <w:rPr>
          <w:rFonts w:ascii="Tahoma" w:hAnsi="Tahoma" w:cs="Tahoma"/>
          <w:b/>
          <w:color w:val="990000"/>
          <w:sz w:val="20"/>
          <w:szCs w:val="20"/>
        </w:rPr>
        <w:t>ΟΔΗΓΙΑ Ο_</w:t>
      </w:r>
      <w:r w:rsidR="007874EE" w:rsidRPr="000D27DD">
        <w:rPr>
          <w:rFonts w:ascii="Tahoma" w:hAnsi="Tahoma" w:cs="Tahoma"/>
          <w:b/>
          <w:color w:val="990000"/>
          <w:sz w:val="20"/>
          <w:szCs w:val="20"/>
        </w:rPr>
        <w:t>Λ.ΙΙ.3_2</w:t>
      </w:r>
      <w:r w:rsidRPr="000D27DD">
        <w:rPr>
          <w:rFonts w:ascii="Tahoma" w:hAnsi="Tahoma" w:cs="Tahoma"/>
          <w:b/>
          <w:color w:val="990000"/>
          <w:sz w:val="20"/>
          <w:szCs w:val="20"/>
        </w:rPr>
        <w:t>: ΟΔΗΓΙΕΣ ΣΥΜΠΛΗΡΩΣΗΣ ΤΗΣ</w:t>
      </w:r>
      <w:r w:rsidR="007874EE" w:rsidRPr="000D27DD">
        <w:rPr>
          <w:rFonts w:ascii="Tahoma" w:hAnsi="Tahoma" w:cs="Tahoma"/>
          <w:b/>
          <w:color w:val="990000"/>
          <w:sz w:val="20"/>
          <w:szCs w:val="20"/>
        </w:rPr>
        <w:t xml:space="preserve"> ΛΙΣΤΑ ΕΛΕΓΧΟΥ ΔΙΑΔΙΚΑΣΙΑΣ ΑΝΑΘΕΣΗΣ ΣΥΜΒΑΣΗΣ ΠΡΟΜΗΘΕΙΩΝ ΚΑΙ ΥΠΗΡΕΣΙΩΝ (ΠΟΥ ΕΜΠΙΠΤΟΥΝ ΣΤΟ ΠΕΔΙΟ ΕΦΑΡΜΟΓΗΣ ΤΩΝ ΟΔΗΓΙΩΝ ΤΗΣ Ε.Ε.)</w:t>
      </w:r>
    </w:p>
    <w:p w:rsidR="007874EE" w:rsidRPr="00AF4579" w:rsidRDefault="007874EE" w:rsidP="007874EE">
      <w:pPr>
        <w:pStyle w:val="a8"/>
        <w:tabs>
          <w:tab w:val="clear" w:pos="4153"/>
          <w:tab w:val="clear" w:pos="8306"/>
        </w:tabs>
        <w:jc w:val="center"/>
        <w:rPr>
          <w:rFonts w:ascii="Arial Narrow" w:hAnsi="Arial Narrow" w:cs="Arial"/>
          <w:b/>
          <w:color w:val="FF0000"/>
          <w:sz w:val="16"/>
          <w:szCs w:val="16"/>
        </w:rPr>
      </w:pPr>
    </w:p>
    <w:p w:rsidR="00187934" w:rsidRPr="000963CC" w:rsidRDefault="00187934" w:rsidP="00187934">
      <w:pPr>
        <w:pStyle w:val="a8"/>
        <w:tabs>
          <w:tab w:val="clear" w:pos="4153"/>
          <w:tab w:val="clear" w:pos="8306"/>
        </w:tabs>
        <w:jc w:val="center"/>
        <w:outlineLvl w:val="0"/>
        <w:rPr>
          <w:rFonts w:ascii="Tahoma" w:hAnsi="Tahoma" w:cs="Tahoma"/>
          <w:b/>
          <w:sz w:val="20"/>
          <w:szCs w:val="20"/>
        </w:rPr>
      </w:pPr>
    </w:p>
    <w:p w:rsidR="000F3461" w:rsidRPr="00B441EA" w:rsidRDefault="007D78EA" w:rsidP="00187934">
      <w:pPr>
        <w:spacing w:before="120" w:after="120" w:line="280" w:lineRule="exact"/>
        <w:jc w:val="center"/>
        <w:rPr>
          <w:rFonts w:ascii="Tahoma" w:eastAsia="Arial Unicode MS" w:hAnsi="Tahoma" w:cs="Tahoma"/>
          <w:b/>
          <w:sz w:val="20"/>
          <w:szCs w:val="20"/>
        </w:rPr>
      </w:pPr>
      <w:r w:rsidRPr="00B441EA">
        <w:rPr>
          <w:rFonts w:ascii="Tahoma" w:eastAsia="Arial Unicode MS" w:hAnsi="Tahoma" w:cs="Tahoma"/>
          <w:b/>
          <w:sz w:val="20"/>
          <w:szCs w:val="20"/>
        </w:rPr>
        <w:t>ΕΙΣΑΓΩΓΗ</w:t>
      </w:r>
    </w:p>
    <w:p w:rsidR="00C600EF" w:rsidRPr="00B441EA" w:rsidRDefault="000B636A" w:rsidP="00B441EA">
      <w:pPr>
        <w:spacing w:before="120" w:after="120" w:line="280" w:lineRule="exact"/>
        <w:jc w:val="both"/>
        <w:rPr>
          <w:rFonts w:ascii="Tahoma" w:eastAsia="Arial Unicode MS" w:hAnsi="Tahoma" w:cs="Tahoma"/>
          <w:sz w:val="18"/>
          <w:szCs w:val="18"/>
        </w:rPr>
      </w:pPr>
      <w:r w:rsidRPr="00B441EA">
        <w:rPr>
          <w:rFonts w:ascii="Tahoma" w:eastAsia="Arial Unicode MS" w:hAnsi="Tahoma" w:cs="Tahoma"/>
          <w:sz w:val="18"/>
          <w:szCs w:val="18"/>
        </w:rPr>
        <w:t>Η Λ.Ι</w:t>
      </w:r>
      <w:r w:rsidR="000E3CC7" w:rsidRPr="00B441EA">
        <w:rPr>
          <w:rFonts w:ascii="Tahoma" w:eastAsia="Arial Unicode MS" w:hAnsi="Tahoma" w:cs="Tahoma"/>
          <w:sz w:val="18"/>
          <w:szCs w:val="18"/>
        </w:rPr>
        <w:t>Ι</w:t>
      </w:r>
      <w:r w:rsidRPr="00B441EA">
        <w:rPr>
          <w:rFonts w:ascii="Tahoma" w:eastAsia="Arial Unicode MS" w:hAnsi="Tahoma" w:cs="Tahoma"/>
          <w:sz w:val="18"/>
          <w:szCs w:val="18"/>
        </w:rPr>
        <w:t>.</w:t>
      </w:r>
      <w:r w:rsidR="007874EE" w:rsidRPr="007874EE">
        <w:rPr>
          <w:rFonts w:ascii="Tahoma" w:eastAsia="Arial Unicode MS" w:hAnsi="Tahoma" w:cs="Tahoma"/>
          <w:sz w:val="18"/>
          <w:szCs w:val="18"/>
        </w:rPr>
        <w:t>3_2</w:t>
      </w:r>
      <w:r w:rsidRPr="00B441EA">
        <w:rPr>
          <w:rFonts w:ascii="Tahoma" w:eastAsia="Arial Unicode MS" w:hAnsi="Tahoma" w:cs="Tahoma"/>
          <w:sz w:val="18"/>
          <w:szCs w:val="18"/>
        </w:rPr>
        <w:t xml:space="preserve"> συμπληρώνεται </w:t>
      </w:r>
      <w:r w:rsidR="00F4658D" w:rsidRPr="00B441EA">
        <w:rPr>
          <w:rFonts w:ascii="Tahoma" w:eastAsia="Arial Unicode MS" w:hAnsi="Tahoma" w:cs="Tahoma"/>
          <w:sz w:val="18"/>
          <w:szCs w:val="18"/>
        </w:rPr>
        <w:t>στις περιπτώσεις</w:t>
      </w:r>
      <w:r w:rsidR="00BE0FFF" w:rsidRPr="00BE0FFF">
        <w:rPr>
          <w:rFonts w:ascii="Tahoma" w:eastAsia="Arial Unicode MS" w:hAnsi="Tahoma" w:cs="Tahoma"/>
          <w:sz w:val="18"/>
          <w:szCs w:val="18"/>
        </w:rPr>
        <w:t xml:space="preserve"> </w:t>
      </w:r>
      <w:r w:rsidR="002B6FF2">
        <w:rPr>
          <w:rFonts w:ascii="Tahoma" w:eastAsia="Arial Unicode MS" w:hAnsi="Tahoma" w:cs="Tahoma"/>
          <w:sz w:val="18"/>
          <w:szCs w:val="18"/>
        </w:rPr>
        <w:t>συμβάσεων</w:t>
      </w:r>
      <w:r w:rsidR="00257041" w:rsidRPr="00B441EA">
        <w:rPr>
          <w:rFonts w:ascii="Tahoma" w:eastAsia="Arial Unicode MS" w:hAnsi="Tahoma" w:cs="Tahoma"/>
          <w:sz w:val="18"/>
          <w:szCs w:val="18"/>
        </w:rPr>
        <w:t xml:space="preserve"> για την ανάθεση</w:t>
      </w:r>
      <w:r w:rsidR="00BE0FFF" w:rsidRPr="00BE0FFF">
        <w:rPr>
          <w:rFonts w:ascii="Tahoma" w:eastAsia="Arial Unicode MS" w:hAnsi="Tahoma" w:cs="Tahoma"/>
          <w:sz w:val="18"/>
          <w:szCs w:val="18"/>
        </w:rPr>
        <w:t xml:space="preserve"> </w:t>
      </w:r>
      <w:r w:rsidR="00257041" w:rsidRPr="00B441EA">
        <w:rPr>
          <w:rFonts w:ascii="Tahoma" w:eastAsia="Arial Unicode MS" w:hAnsi="Tahoma" w:cs="Tahoma"/>
          <w:sz w:val="18"/>
          <w:szCs w:val="18"/>
        </w:rPr>
        <w:t>δ</w:t>
      </w:r>
      <w:r w:rsidRPr="00B441EA">
        <w:rPr>
          <w:rFonts w:ascii="Tahoma" w:eastAsia="Arial Unicode MS" w:hAnsi="Tahoma" w:cs="Tahoma"/>
          <w:sz w:val="18"/>
          <w:szCs w:val="18"/>
        </w:rPr>
        <w:t xml:space="preserve">ημοσίων </w:t>
      </w:r>
      <w:r w:rsidR="00257041" w:rsidRPr="00B441EA">
        <w:rPr>
          <w:rFonts w:ascii="Tahoma" w:eastAsia="Arial Unicode MS" w:hAnsi="Tahoma" w:cs="Tahoma"/>
          <w:sz w:val="18"/>
          <w:szCs w:val="18"/>
        </w:rPr>
        <w:t>σ</w:t>
      </w:r>
      <w:r w:rsidRPr="00B441EA">
        <w:rPr>
          <w:rFonts w:ascii="Tahoma" w:eastAsia="Arial Unicode MS" w:hAnsi="Tahoma" w:cs="Tahoma"/>
          <w:sz w:val="18"/>
          <w:szCs w:val="18"/>
        </w:rPr>
        <w:t xml:space="preserve">υμβάσεων </w:t>
      </w:r>
      <w:r w:rsidR="007874EE">
        <w:rPr>
          <w:rFonts w:ascii="Tahoma" w:eastAsia="Arial Unicode MS" w:hAnsi="Tahoma" w:cs="Tahoma"/>
          <w:sz w:val="18"/>
          <w:szCs w:val="18"/>
        </w:rPr>
        <w:t xml:space="preserve">προμηθειών και υπηρεσιών </w:t>
      </w:r>
      <w:r w:rsidR="003D2327" w:rsidRPr="00B441EA">
        <w:rPr>
          <w:rFonts w:ascii="Tahoma" w:hAnsi="Tahoma" w:cs="Tahoma"/>
          <w:sz w:val="18"/>
          <w:szCs w:val="18"/>
        </w:rPr>
        <w:t>που εμπίπτουν στο πεδίο εφαρμογής των κοινοτικών οδηγιών</w:t>
      </w:r>
      <w:r w:rsidR="00187934">
        <w:rPr>
          <w:rFonts w:ascii="Tahoma" w:hAnsi="Tahoma" w:cs="Tahoma"/>
          <w:sz w:val="18"/>
          <w:szCs w:val="18"/>
        </w:rPr>
        <w:t xml:space="preserve">. </w:t>
      </w:r>
    </w:p>
    <w:p w:rsidR="00772510" w:rsidRPr="004663E8" w:rsidRDefault="00772510" w:rsidP="007B61B8">
      <w:pPr>
        <w:spacing w:before="240" w:after="120" w:line="280" w:lineRule="exact"/>
        <w:jc w:val="center"/>
        <w:rPr>
          <w:rFonts w:ascii="Tahoma" w:eastAsia="Arial Unicode MS" w:hAnsi="Tahoma" w:cs="Tahoma"/>
          <w:b/>
          <w:sz w:val="18"/>
          <w:szCs w:val="18"/>
          <w:u w:val="single"/>
        </w:rPr>
      </w:pPr>
      <w:r w:rsidRPr="004663E8">
        <w:rPr>
          <w:rFonts w:ascii="Tahoma" w:eastAsia="Arial Unicode MS" w:hAnsi="Tahoma" w:cs="Tahoma"/>
          <w:b/>
          <w:sz w:val="18"/>
          <w:szCs w:val="18"/>
          <w:u w:val="single"/>
        </w:rPr>
        <w:t>I. ΕΞΑΙΡΕΤΙΚΕΣ ΔΙΑΔΙΚΑΣΙΕΣ ΑΝΑΘΕΣΗΣ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6A1EE0" w:rsidRPr="007B61B8" w:rsidTr="007B61B8">
        <w:tc>
          <w:tcPr>
            <w:tcW w:w="9322" w:type="dxa"/>
            <w:shd w:val="clear" w:color="auto" w:fill="CCCCCC"/>
          </w:tcPr>
          <w:p w:rsidR="005C4340" w:rsidRPr="007B61B8" w:rsidRDefault="006A1EE0" w:rsidP="008F7BC1">
            <w:pPr>
              <w:spacing w:before="120" w:after="120" w:line="280" w:lineRule="exact"/>
              <w:jc w:val="both"/>
              <w:rPr>
                <w:rFonts w:ascii="Tahoma" w:eastAsia="Arial Unicode MS" w:hAnsi="Tahoma" w:cs="Tahoma"/>
                <w:b/>
                <w:i/>
                <w:sz w:val="18"/>
                <w:szCs w:val="18"/>
              </w:rPr>
            </w:pPr>
            <w:r w:rsidRPr="007B61B8">
              <w:rPr>
                <w:rFonts w:ascii="Tahoma" w:eastAsia="Arial Unicode MS" w:hAnsi="Tahoma" w:cs="Tahoma"/>
                <w:b/>
                <w:i/>
                <w:sz w:val="18"/>
                <w:szCs w:val="18"/>
              </w:rPr>
              <w:t xml:space="preserve">Ερώτηση 1: </w:t>
            </w:r>
            <w:r w:rsidR="007874EE" w:rsidRPr="007874EE">
              <w:rPr>
                <w:rFonts w:ascii="Tahoma" w:eastAsia="Arial Unicode MS" w:hAnsi="Tahoma" w:cs="Tahoma"/>
                <w:b/>
                <w:bCs/>
                <w:i/>
                <w:sz w:val="18"/>
                <w:szCs w:val="18"/>
              </w:rPr>
              <w:t>Στην περίπτωση επιλογής της διαδικασίας με διαπραγμάτευση των περιπτώσεων του αρ. 25 του ΠΔ  60/2007 ή του αρ. 25 του ΠΔ 59/2007 υπάρχει σύμφωνη γνώμη της Ενιαίας Ανεξάρτητης Αρχής Δημοσίων Συμβάσεων επί της απόφασης της Αναθέτουσας Αρχής περί προσφυγής στη διαδικασία αυτή;</w:t>
            </w:r>
          </w:p>
        </w:tc>
      </w:tr>
    </w:tbl>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 xml:space="preserve">Οι διαδικασίες αυτές ως παρεκκλίνουσες από τους κανόνες περί των διαδικασιών αναθέσεως των δημοσίων συμβάσεων, πρέπει να ερμηνεύονται </w:t>
      </w:r>
      <w:proofErr w:type="spellStart"/>
      <w:r w:rsidRPr="00187934">
        <w:rPr>
          <w:rFonts w:ascii="Tahoma" w:eastAsia="Arial Unicode MS" w:hAnsi="Tahoma" w:cs="Tahoma"/>
          <w:bCs/>
          <w:sz w:val="18"/>
          <w:szCs w:val="18"/>
        </w:rPr>
        <w:t>συσταλτικώς</w:t>
      </w:r>
      <w:proofErr w:type="spellEnd"/>
      <w:r w:rsidRPr="00187934">
        <w:rPr>
          <w:rFonts w:ascii="Tahoma" w:eastAsia="Arial Unicode MS" w:hAnsi="Tahoma" w:cs="Tahoma"/>
          <w:bCs/>
          <w:sz w:val="18"/>
          <w:szCs w:val="18"/>
        </w:rPr>
        <w:t xml:space="preserve">. Το βάρος αποδείξεως ότι συντρέχουν οι λόγοι που δικαιολογούν την προσφυγή στη διαδικασία αυτή το φέρει ο προτιθέμενος να κάνει χρήση των διατάξεων αυτών. </w:t>
      </w:r>
    </w:p>
    <w:p w:rsid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Σύμφωνα με την παρ. 2 του αρ. 2 Ν. 4013/2011 η Ενιαία Ανεξάρτητη Αρχή Δημοσίων Συμβάσεων έχει την αρμοδιότητα έκδοσης σύμφωνης γνώμης επί των αποφάσεων των Αναθετουσών Αρχών που αφορούν προσφυγή στη διαδικασία της διαπραγμάτευσης για την ανάθεση των δημόσιων συμβάσεων, σύμφωνα με τις διατάξεις του αρ. 25 παρ. 3 του ΠΔ 59/2007 και των άρθρων 24 και 25 του ΠΔ 60/2007, εξαιρουμένων των περιπτώσεων ανωτέρας βίας, εφόσον οι συμβάσεις αυτές εμπίπτουν, λόγω της εκτιμώμενης αξίας τους, στο πεδίο εφαρμογής των ανωτέρω προεδρικών διαταγμάτων</w:t>
      </w:r>
      <w:r w:rsidR="007874EE">
        <w:rPr>
          <w:rFonts w:ascii="Tahoma" w:eastAsia="Arial Unicode MS" w:hAnsi="Tahoma" w:cs="Tahoma"/>
          <w:bCs/>
          <w:sz w:val="18"/>
          <w:szCs w:val="18"/>
        </w:rPr>
        <w:t>.</w:t>
      </w:r>
    </w:p>
    <w:p w:rsidR="00187934" w:rsidRDefault="00D01865" w:rsidP="00187934">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Εφαρμοστέο δίκαιο:</w:t>
      </w:r>
    </w:p>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αρ. 25 ΠΔ 60/2007</w:t>
      </w:r>
    </w:p>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 xml:space="preserve">αρ. 25 ΠΔ 59/2007 </w:t>
      </w:r>
    </w:p>
    <w:p w:rsidR="002B6FF2"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αρ.2 παρ.2 Ν. 4013/2011</w:t>
      </w:r>
    </w:p>
    <w:p w:rsidR="00772510" w:rsidRDefault="00772510" w:rsidP="00187934">
      <w:pPr>
        <w:spacing w:line="280" w:lineRule="exact"/>
        <w:jc w:val="both"/>
        <w:rPr>
          <w:rFonts w:ascii="Tahoma" w:eastAsia="Arial Unicode MS" w:hAnsi="Tahoma" w:cs="Tahoma"/>
          <w:bCs/>
          <w:sz w:val="18"/>
          <w:szCs w:val="18"/>
        </w:rPr>
      </w:pPr>
    </w:p>
    <w:p w:rsidR="002B6FF2" w:rsidRDefault="0010244F" w:rsidP="002B6FF2">
      <w:pPr>
        <w:spacing w:line="280" w:lineRule="exact"/>
        <w:jc w:val="center"/>
        <w:rPr>
          <w:rFonts w:ascii="Tahoma" w:eastAsia="Arial Unicode MS" w:hAnsi="Tahoma" w:cs="Tahoma"/>
          <w:b/>
          <w:sz w:val="18"/>
          <w:szCs w:val="18"/>
          <w:u w:val="single"/>
        </w:rPr>
      </w:pPr>
      <w:r w:rsidRPr="0010244F">
        <w:rPr>
          <w:rFonts w:ascii="Tahoma" w:eastAsia="Arial Unicode MS" w:hAnsi="Tahoma" w:cs="Tahoma"/>
          <w:b/>
          <w:sz w:val="18"/>
          <w:szCs w:val="18"/>
          <w:u w:val="single"/>
        </w:rPr>
        <w:t>ΙΙΙ. ΤΗΡΗΣΗ ΚΑΝΟΝΩΝ ΔΗΜΟΣΙΟΤΗΤΑΣ ΚΑΙ ΔΙΑΦΑΝΕΙΑΣ</w:t>
      </w:r>
    </w:p>
    <w:p w:rsidR="0010244F" w:rsidRPr="002B6FF2" w:rsidRDefault="0010244F" w:rsidP="002B6FF2">
      <w:pPr>
        <w:spacing w:line="280" w:lineRule="exact"/>
        <w:jc w:val="center"/>
        <w:rPr>
          <w:rFonts w:ascii="Tahoma" w:eastAsia="Arial Unicode MS" w:hAnsi="Tahoma" w:cs="Tahoma"/>
          <w:b/>
          <w:sz w:val="18"/>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64"/>
      </w:tblGrid>
      <w:tr w:rsidR="006A1EE0" w:rsidRPr="007B61B8" w:rsidTr="007B61B8">
        <w:tc>
          <w:tcPr>
            <w:tcW w:w="9464" w:type="dxa"/>
            <w:shd w:val="clear" w:color="auto" w:fill="CCCCCC"/>
          </w:tcPr>
          <w:p w:rsidR="005C4340" w:rsidRPr="007B61B8" w:rsidRDefault="0010244F" w:rsidP="007874EE">
            <w:pPr>
              <w:spacing w:before="120" w:after="120" w:line="280" w:lineRule="exact"/>
              <w:jc w:val="both"/>
              <w:rPr>
                <w:rFonts w:ascii="Tahoma" w:eastAsia="Arial Unicode MS" w:hAnsi="Tahoma" w:cs="Tahoma"/>
                <w:b/>
                <w:i/>
                <w:sz w:val="18"/>
                <w:szCs w:val="18"/>
              </w:rPr>
            </w:pPr>
            <w:r>
              <w:rPr>
                <w:rFonts w:ascii="Tahoma" w:eastAsia="Arial Unicode MS" w:hAnsi="Tahoma" w:cs="Tahoma"/>
                <w:b/>
                <w:i/>
                <w:sz w:val="18"/>
                <w:szCs w:val="18"/>
              </w:rPr>
              <w:t xml:space="preserve">Ερώτηση </w:t>
            </w:r>
            <w:r w:rsidR="007874EE">
              <w:rPr>
                <w:rFonts w:ascii="Tahoma" w:eastAsia="Arial Unicode MS" w:hAnsi="Tahoma" w:cs="Tahoma"/>
                <w:b/>
                <w:i/>
                <w:sz w:val="18"/>
                <w:szCs w:val="18"/>
              </w:rPr>
              <w:t>4</w:t>
            </w:r>
            <w:r w:rsidR="006A1EE0" w:rsidRPr="007B61B8">
              <w:rPr>
                <w:rFonts w:ascii="Tahoma" w:eastAsia="Arial Unicode MS" w:hAnsi="Tahoma" w:cs="Tahoma"/>
                <w:b/>
                <w:i/>
                <w:sz w:val="18"/>
                <w:szCs w:val="18"/>
              </w:rPr>
              <w:t xml:space="preserve">: </w:t>
            </w:r>
            <w:r w:rsidR="007874EE" w:rsidRPr="007874EE">
              <w:rPr>
                <w:rFonts w:ascii="Tahoma" w:eastAsia="Arial Unicode MS" w:hAnsi="Tahoma" w:cs="Tahoma"/>
                <w:b/>
                <w:i/>
                <w:sz w:val="18"/>
                <w:szCs w:val="18"/>
              </w:rPr>
              <w:t>Έχει τηρηθεί η υποχρέωση της δημοσίευσης από την αναθέτουσα αρχή της περίληψης της προκήρυξης σύμβασης υπηρεσιών, προμήθειας στην Εφημερίδα της Κυβέρνησης (ΦΕΚ), της περίληψης προκήρυξης μελέτης και συναφών υπηρεσιών στο Ενημερωτικό Δελτίο - ιστοσελίδα του ΤΕΕ, και στον ελληνικό τύπο, μετά την ημερομηνία αποστολής για δημοσίευση στην Ε.Ε.Ε.Ε ή παράλληλα με αυτήν;</w:t>
            </w:r>
          </w:p>
        </w:tc>
      </w:tr>
    </w:tbl>
    <w:p w:rsidR="007874EE" w:rsidRDefault="007874EE" w:rsidP="00187934">
      <w:pPr>
        <w:spacing w:line="280" w:lineRule="exact"/>
        <w:jc w:val="both"/>
        <w:rPr>
          <w:rFonts w:ascii="Tahoma" w:eastAsia="Arial Unicode MS" w:hAnsi="Tahoma" w:cs="Tahoma"/>
          <w:bCs/>
          <w:iCs/>
          <w:sz w:val="18"/>
          <w:szCs w:val="18"/>
        </w:rPr>
      </w:pPr>
      <w:r w:rsidRPr="007874EE">
        <w:rPr>
          <w:rFonts w:ascii="Tahoma" w:eastAsia="Arial Unicode MS" w:hAnsi="Tahoma" w:cs="Tahoma"/>
          <w:bCs/>
          <w:iCs/>
          <w:sz w:val="18"/>
          <w:szCs w:val="18"/>
        </w:rPr>
        <w:t>Οι προκηρύξεις και το περιεχόμενό τους  δεν μπορούν να δημοσιεύονται σε εθνικό επίπεδο πριν από την ημερομηνία αποστολής τους στην Ε.Ε.Ε.Ε.</w:t>
      </w:r>
    </w:p>
    <w:p w:rsidR="007874EE" w:rsidRDefault="00D01865"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αρ. 30 ΠΔ 60/2007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 xml:space="preserve"> αρ. 34 &amp; 36 ΠΔ 59/2007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αρ. 4 ΠΔ 118/2007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Ν. 3548/2007</w:t>
      </w:r>
    </w:p>
    <w:p w:rsidR="00187934"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Ν. 4155/2013</w:t>
      </w:r>
    </w:p>
    <w:p w:rsidR="007874EE" w:rsidRDefault="007874EE" w:rsidP="00187934">
      <w:pPr>
        <w:spacing w:line="280" w:lineRule="exact"/>
        <w:jc w:val="both"/>
        <w:rPr>
          <w:rFonts w:ascii="Tahoma" w:eastAsia="Arial Unicode MS"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6A1EE0" w:rsidRPr="0009047D" w:rsidTr="007B61B8">
        <w:tc>
          <w:tcPr>
            <w:tcW w:w="9322" w:type="dxa"/>
            <w:shd w:val="clear" w:color="auto" w:fill="CCCCCC"/>
          </w:tcPr>
          <w:p w:rsidR="006A1EE0" w:rsidRPr="00772510" w:rsidRDefault="007874EE" w:rsidP="007B61B8">
            <w:pPr>
              <w:pStyle w:val="2"/>
              <w:spacing w:before="120" w:after="120" w:line="280" w:lineRule="exact"/>
              <w:rPr>
                <w:rFonts w:ascii="Tahoma" w:eastAsia="Arial Unicode MS" w:hAnsi="Tahoma" w:cs="Tahoma"/>
                <w:sz w:val="18"/>
                <w:szCs w:val="18"/>
                <w:lang w:eastAsia="el-GR"/>
              </w:rPr>
            </w:pPr>
            <w:r>
              <w:rPr>
                <w:rFonts w:ascii="Tahoma" w:eastAsia="Arial Unicode MS" w:hAnsi="Tahoma" w:cs="Tahoma"/>
                <w:sz w:val="18"/>
                <w:szCs w:val="18"/>
                <w:lang w:eastAsia="el-GR"/>
              </w:rPr>
              <w:t>Ερώτηση 8</w:t>
            </w:r>
            <w:r w:rsidR="006A1EE0" w:rsidRPr="007B61B8">
              <w:rPr>
                <w:rFonts w:ascii="Tahoma" w:eastAsia="Arial Unicode MS" w:hAnsi="Tahoma" w:cs="Tahoma"/>
                <w:sz w:val="18"/>
                <w:szCs w:val="18"/>
                <w:lang w:eastAsia="el-GR"/>
              </w:rPr>
              <w:t xml:space="preserve">: </w:t>
            </w:r>
            <w:r w:rsidR="0010244F" w:rsidRPr="0010244F">
              <w:rPr>
                <w:rFonts w:ascii="Tahoma" w:hAnsi="Tahoma" w:cs="Tahoma"/>
                <w:sz w:val="18"/>
                <w:szCs w:val="18"/>
              </w:rPr>
              <w:t>Τηρήθηκαν οι προβλεπόμενες προθεσμίες  για την παραλαβή των αιτήσεων συμμετοχής και των προσφορών;</w:t>
            </w:r>
          </w:p>
        </w:tc>
      </w:tr>
    </w:tbl>
    <w:p w:rsidR="0010244F" w:rsidRPr="00A66B9C" w:rsidRDefault="0010244F" w:rsidP="0010244F">
      <w:pPr>
        <w:pStyle w:val="ad"/>
        <w:tabs>
          <w:tab w:val="left" w:pos="1560"/>
        </w:tabs>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A66B9C">
        <w:rPr>
          <w:rFonts w:ascii="Tahoma" w:hAnsi="Tahoma" w:cs="Tahoma"/>
          <w:b/>
          <w:bCs/>
          <w:sz w:val="18"/>
          <w:szCs w:val="18"/>
        </w:rPr>
        <w:t>Ανοικτή διαδικασία:</w:t>
      </w:r>
      <w:r w:rsidR="00220D13">
        <w:rPr>
          <w:rFonts w:ascii="Tahoma" w:hAnsi="Tahoma" w:cs="Tahoma"/>
          <w:b/>
          <w:bCs/>
          <w:sz w:val="18"/>
          <w:szCs w:val="18"/>
        </w:rPr>
        <w:t xml:space="preserve"> </w:t>
      </w:r>
      <w:r w:rsidRPr="00A66B9C">
        <w:rPr>
          <w:rFonts w:ascii="Tahoma" w:hAnsi="Tahoma" w:cs="Tahoma"/>
          <w:sz w:val="18"/>
          <w:szCs w:val="18"/>
        </w:rPr>
        <w:t xml:space="preserve">ελάχιστη προθεσμία παραλαβής των προσφορών = </w:t>
      </w:r>
      <w:r w:rsidRPr="00A66B9C">
        <w:rPr>
          <w:rFonts w:ascii="Tahoma" w:hAnsi="Tahoma" w:cs="Tahoma"/>
          <w:bCs/>
          <w:sz w:val="18"/>
          <w:szCs w:val="18"/>
        </w:rPr>
        <w:t>52 ημέρες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sz w:val="18"/>
          <w:szCs w:val="18"/>
        </w:rPr>
      </w:pPr>
      <w:r w:rsidRPr="00A66B9C">
        <w:rPr>
          <w:rFonts w:ascii="Tahoma" w:hAnsi="Tahoma" w:cs="Tahoma"/>
          <w:b/>
          <w:bCs/>
          <w:sz w:val="18"/>
          <w:szCs w:val="18"/>
        </w:rPr>
        <w:lastRenderedPageBreak/>
        <w:t>Κλειστή διαδικασία, διαδικασία με διαπραγμάτευση με δημοσίευση προκήρυξης, ανταγωνιστικός διάλογος:</w:t>
      </w:r>
      <w:r w:rsidRPr="00A66B9C">
        <w:rPr>
          <w:rFonts w:ascii="Tahoma" w:hAnsi="Tahoma" w:cs="Tahoma"/>
          <w:sz w:val="18"/>
          <w:szCs w:val="18"/>
        </w:rPr>
        <w:t xml:space="preserve"> ελάχιστη προθεσμία παραλαβής των αιτήσεων συμμετοχής = </w:t>
      </w:r>
      <w:r w:rsidRPr="00A66B9C">
        <w:rPr>
          <w:rFonts w:ascii="Tahoma" w:hAnsi="Tahoma" w:cs="Tahoma"/>
          <w:bCs/>
          <w:sz w:val="18"/>
          <w:szCs w:val="18"/>
        </w:rPr>
        <w:t>37 ημέρες από την ημερομηνία αποστολής της προκήρυξης</w:t>
      </w:r>
      <w:r w:rsidRPr="00A66B9C">
        <w:rPr>
          <w:rFonts w:ascii="Tahoma" w:hAnsi="Tahoma" w:cs="Tahoma"/>
          <w:sz w:val="18"/>
          <w:szCs w:val="18"/>
        </w:rPr>
        <w:t xml:space="preserve"> στην ΕΕΕΚ</w:t>
      </w:r>
      <w:r w:rsidRPr="00A66B9C">
        <w:rPr>
          <w:rFonts w:ascii="Tahoma" w:hAnsi="Tahoma" w:cs="Tahoma"/>
          <w:bCs/>
          <w:sz w:val="18"/>
          <w:szCs w:val="18"/>
        </w:rPr>
        <w:t>.</w:t>
      </w:r>
    </w:p>
    <w:p w:rsidR="0010244F" w:rsidRPr="00A66B9C" w:rsidRDefault="0010244F" w:rsidP="00BE0FFF">
      <w:pPr>
        <w:pStyle w:val="ad"/>
        <w:overflowPunct w:val="0"/>
        <w:autoSpaceDE w:val="0"/>
        <w:autoSpaceDN w:val="0"/>
        <w:adjustRightInd w:val="0"/>
        <w:spacing w:before="60" w:after="60" w:line="240" w:lineRule="exact"/>
        <w:ind w:right="0"/>
        <w:textAlignment w:val="baseline"/>
        <w:rPr>
          <w:rFonts w:ascii="Tahoma" w:hAnsi="Tahoma" w:cs="Tahoma"/>
          <w:sz w:val="18"/>
          <w:szCs w:val="18"/>
        </w:rPr>
      </w:pPr>
      <w:r w:rsidRPr="00A66B9C">
        <w:rPr>
          <w:rFonts w:ascii="Tahoma" w:hAnsi="Tahoma" w:cs="Tahoma"/>
          <w:bCs/>
          <w:sz w:val="18"/>
          <w:szCs w:val="18"/>
        </w:rPr>
        <w:t xml:space="preserve">Κλειστή διαδικασία: </w:t>
      </w:r>
      <w:r w:rsidRPr="00A66B9C">
        <w:rPr>
          <w:rFonts w:ascii="Tahoma" w:hAnsi="Tahoma" w:cs="Tahoma"/>
          <w:sz w:val="18"/>
          <w:szCs w:val="18"/>
        </w:rPr>
        <w:t xml:space="preserve">ελάχιστη προθεσμία παραλαβής των προσφορών = </w:t>
      </w:r>
      <w:r w:rsidRPr="00A66B9C">
        <w:rPr>
          <w:rFonts w:ascii="Tahoma" w:hAnsi="Tahoma" w:cs="Tahoma"/>
          <w:bCs/>
          <w:sz w:val="18"/>
          <w:szCs w:val="18"/>
        </w:rPr>
        <w:t>40 ημέρες από την ημερομηνία αποστολής της πρόσκλησης.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bCs/>
          <w:sz w:val="18"/>
          <w:szCs w:val="18"/>
        </w:rPr>
      </w:pPr>
      <w:r w:rsidRPr="00A66B9C">
        <w:rPr>
          <w:rFonts w:ascii="Tahoma" w:hAnsi="Tahoma" w:cs="Tahoma"/>
          <w:b/>
          <w:bCs/>
          <w:i/>
          <w:sz w:val="18"/>
          <w:szCs w:val="18"/>
        </w:rPr>
        <w:t xml:space="preserve">Όταν έχει προηγηθεί δημοσίευση προκαταρκτικής προκήρυξης </w:t>
      </w:r>
      <w:r w:rsidRPr="00A66B9C">
        <w:rPr>
          <w:rFonts w:ascii="Tahoma" w:hAnsi="Tahoma" w:cs="Tahoma"/>
          <w:b/>
          <w:i/>
          <w:sz w:val="18"/>
          <w:szCs w:val="18"/>
        </w:rPr>
        <w:t>στην ΕΕΕΚ:</w:t>
      </w:r>
      <w:r w:rsidRPr="00A66B9C">
        <w:rPr>
          <w:rFonts w:ascii="Tahoma" w:hAnsi="Tahoma" w:cs="Tahoma"/>
          <w:sz w:val="18"/>
          <w:szCs w:val="18"/>
        </w:rPr>
        <w:t xml:space="preserve"> η ελάχιστη προθεσμία παραλαβής των προσφορών μειώνεται σε </w:t>
      </w:r>
      <w:r w:rsidRPr="00A66B9C">
        <w:rPr>
          <w:rFonts w:ascii="Tahoma" w:hAnsi="Tahoma" w:cs="Tahoma"/>
          <w:bCs/>
          <w:sz w:val="18"/>
          <w:szCs w:val="18"/>
        </w:rPr>
        <w:t xml:space="preserve">36 ημέρες </w:t>
      </w:r>
      <w:r w:rsidRPr="00A66B9C">
        <w:rPr>
          <w:rFonts w:ascii="Tahoma" w:hAnsi="Tahoma" w:cs="Tahoma"/>
          <w:sz w:val="18"/>
          <w:szCs w:val="18"/>
        </w:rPr>
        <w:t xml:space="preserve"> και σε καμία περίπτωση δεν μπορεί να είναι κατώτερη των </w:t>
      </w:r>
      <w:r w:rsidRPr="00A66B9C">
        <w:rPr>
          <w:rFonts w:ascii="Tahoma" w:hAnsi="Tahoma" w:cs="Tahoma"/>
          <w:bCs/>
          <w:sz w:val="18"/>
          <w:szCs w:val="18"/>
        </w:rPr>
        <w:t>22 ημερών (δεν εφαρμόζεται στις διαδικασίες διαπραγμάτευσης χωρίς προηγούμενη δημοσίευση προκήρυξης).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b/>
          <w:sz w:val="18"/>
          <w:szCs w:val="18"/>
        </w:rPr>
      </w:pPr>
      <w:r w:rsidRPr="00A66B9C">
        <w:rPr>
          <w:rFonts w:ascii="Tahoma" w:hAnsi="Tahoma" w:cs="Tahoma"/>
          <w:b/>
          <w:i/>
          <w:sz w:val="18"/>
          <w:szCs w:val="18"/>
        </w:rPr>
        <w:t xml:space="preserve">Δυνατότητα σύντμησης: </w:t>
      </w:r>
      <w:r w:rsidRPr="00A66B9C">
        <w:rPr>
          <w:rFonts w:ascii="Tahoma" w:hAnsi="Tahoma" w:cs="Tahoma"/>
          <w:sz w:val="18"/>
          <w:szCs w:val="18"/>
        </w:rPr>
        <w:t xml:space="preserve">κατά 7 μέρες παραλαβής αιτήσεων συμμετοχής και  προσφορών, όταν οι προκηρύξεις καταρτίζονται και αποστέλλονται με </w:t>
      </w:r>
      <w:r w:rsidRPr="00A66B9C">
        <w:rPr>
          <w:rFonts w:ascii="Tahoma" w:hAnsi="Tahoma" w:cs="Tahoma"/>
          <w:b/>
          <w:sz w:val="18"/>
          <w:szCs w:val="18"/>
        </w:rPr>
        <w:t>ηλεκτρονικά μέσα</w:t>
      </w:r>
      <w:r w:rsidRPr="00A66B9C">
        <w:rPr>
          <w:rFonts w:ascii="Tahoma" w:hAnsi="Tahoma" w:cs="Tahoma"/>
          <w:sz w:val="18"/>
          <w:szCs w:val="18"/>
        </w:rPr>
        <w:t>. Δυνατότητα (επιπλέον των 7 ημερών) σύντμησης κατά 5 ημέρες παραλαβής των προσφορών όταν η ΑΑ παρέχει με ηλεκτρονικό μέσο άμεση πρόσβαση στα τεύχη του διαγωνισμού.</w:t>
      </w:r>
    </w:p>
    <w:p w:rsidR="0010244F" w:rsidRPr="00A66B9C" w:rsidRDefault="0010244F" w:rsidP="00BE0FFF">
      <w:pPr>
        <w:pStyle w:val="ad"/>
        <w:tabs>
          <w:tab w:val="left" w:pos="960"/>
        </w:tabs>
        <w:spacing w:before="60" w:after="60" w:line="240" w:lineRule="exact"/>
        <w:ind w:right="0"/>
        <w:rPr>
          <w:rFonts w:ascii="Tahoma" w:hAnsi="Tahoma" w:cs="Tahoma"/>
          <w:sz w:val="18"/>
          <w:szCs w:val="18"/>
        </w:rPr>
      </w:pPr>
      <w:r w:rsidRPr="00A66B9C">
        <w:rPr>
          <w:rFonts w:ascii="Tahoma" w:hAnsi="Tahoma" w:cs="Tahoma"/>
          <w:b/>
          <w:bCs/>
          <w:sz w:val="18"/>
          <w:szCs w:val="18"/>
        </w:rPr>
        <w:t>Επισπευσμένη κλειστή διαδικασία, επισπευσμένη με διαπραγμάτευση με δημοσίευση προκήρυξης</w:t>
      </w:r>
      <w:r w:rsidRPr="00A66B9C">
        <w:rPr>
          <w:rFonts w:ascii="Tahoma" w:hAnsi="Tahoma" w:cs="Tahoma"/>
          <w:bCs/>
          <w:sz w:val="18"/>
          <w:szCs w:val="18"/>
        </w:rPr>
        <w:t xml:space="preserve"> (όταν υπάρχουν επείγοντες λόγοι): </w:t>
      </w:r>
      <w:r w:rsidRPr="00A66B9C">
        <w:rPr>
          <w:rFonts w:ascii="Tahoma" w:hAnsi="Tahoma" w:cs="Tahoma"/>
          <w:sz w:val="18"/>
          <w:szCs w:val="18"/>
        </w:rPr>
        <w:t xml:space="preserve">παραλαβή των αιτήσεων συμμετοχής </w:t>
      </w:r>
      <w:r w:rsidRPr="00A66B9C">
        <w:rPr>
          <w:rFonts w:ascii="Tahoma" w:hAnsi="Tahoma" w:cs="Tahoma"/>
          <w:bCs/>
          <w:sz w:val="18"/>
          <w:szCs w:val="18"/>
        </w:rPr>
        <w:t xml:space="preserve">15 ημέρες από την ημερομηνία αποστολής της προκήρυξης </w:t>
      </w:r>
      <w:r w:rsidRPr="00A66B9C">
        <w:rPr>
          <w:rFonts w:ascii="Tahoma" w:hAnsi="Tahoma" w:cs="Tahoma"/>
          <w:sz w:val="18"/>
          <w:szCs w:val="18"/>
        </w:rPr>
        <w:t>στην ΕΕΕΚ ή 10ημ. αν η προκήρυξη απεστάλη με ηλεκτρονικά μέσα.</w:t>
      </w:r>
    </w:p>
    <w:p w:rsidR="0010244F" w:rsidRDefault="0010244F" w:rsidP="00BE0FFF">
      <w:pPr>
        <w:spacing w:line="280" w:lineRule="exact"/>
        <w:jc w:val="both"/>
        <w:rPr>
          <w:rFonts w:ascii="Tahoma" w:hAnsi="Tahoma" w:cs="Tahoma"/>
          <w:bCs/>
          <w:sz w:val="18"/>
          <w:szCs w:val="18"/>
        </w:rPr>
      </w:pPr>
      <w:r w:rsidRPr="00A66B9C">
        <w:rPr>
          <w:rFonts w:ascii="Tahoma" w:hAnsi="Tahoma" w:cs="Tahoma"/>
          <w:sz w:val="18"/>
          <w:szCs w:val="18"/>
        </w:rPr>
        <w:t xml:space="preserve">Κλειστή διαδικασία: παραλαβή των προσφορών </w:t>
      </w:r>
      <w:r w:rsidRPr="00A66B9C">
        <w:rPr>
          <w:rFonts w:ascii="Tahoma" w:hAnsi="Tahoma" w:cs="Tahoma"/>
          <w:bCs/>
          <w:sz w:val="18"/>
          <w:szCs w:val="18"/>
        </w:rPr>
        <w:t>10 ημέρες από την ημερομηνία της πρόσκλησης.</w:t>
      </w:r>
    </w:p>
    <w:p w:rsidR="007874EE" w:rsidRDefault="007874EE"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Pr="007874EE" w:rsidRDefault="007874EE" w:rsidP="007874EE">
      <w:pPr>
        <w:spacing w:line="280" w:lineRule="exact"/>
        <w:jc w:val="both"/>
        <w:rPr>
          <w:rFonts w:ascii="Tahoma" w:hAnsi="Tahoma" w:cs="Tahoma"/>
          <w:bCs/>
          <w:sz w:val="18"/>
          <w:szCs w:val="18"/>
        </w:rPr>
      </w:pPr>
      <w:r w:rsidRPr="007874EE">
        <w:rPr>
          <w:rFonts w:ascii="Tahoma" w:hAnsi="Tahoma" w:cs="Tahoma"/>
          <w:bCs/>
          <w:sz w:val="18"/>
          <w:szCs w:val="18"/>
        </w:rPr>
        <w:t>αρ. 25 &amp;  32 ΠΔ 60/2007</w:t>
      </w:r>
    </w:p>
    <w:p w:rsidR="007874EE" w:rsidRPr="007874EE" w:rsidRDefault="007874EE" w:rsidP="007874EE">
      <w:pPr>
        <w:spacing w:line="280" w:lineRule="exact"/>
        <w:jc w:val="both"/>
        <w:rPr>
          <w:rFonts w:ascii="Tahoma" w:hAnsi="Tahoma" w:cs="Tahoma"/>
          <w:bCs/>
          <w:sz w:val="18"/>
          <w:szCs w:val="18"/>
        </w:rPr>
      </w:pPr>
      <w:r w:rsidRPr="007874EE">
        <w:rPr>
          <w:rFonts w:ascii="Tahoma" w:hAnsi="Tahoma" w:cs="Tahoma"/>
          <w:bCs/>
          <w:sz w:val="18"/>
          <w:szCs w:val="18"/>
        </w:rPr>
        <w:t>αρ. 34 &amp; 36 ΠΔ 59/2007</w:t>
      </w:r>
    </w:p>
    <w:p w:rsidR="007874EE" w:rsidRDefault="007874EE" w:rsidP="007874EE">
      <w:pPr>
        <w:spacing w:line="280" w:lineRule="exact"/>
        <w:jc w:val="both"/>
        <w:rPr>
          <w:rFonts w:ascii="Tahoma" w:hAnsi="Tahoma" w:cs="Tahoma"/>
          <w:bCs/>
          <w:sz w:val="18"/>
          <w:szCs w:val="18"/>
        </w:rPr>
      </w:pPr>
    </w:p>
    <w:p w:rsidR="0010244F" w:rsidRDefault="007874EE" w:rsidP="00DA64C5">
      <w:pPr>
        <w:spacing w:line="280" w:lineRule="exact"/>
        <w:jc w:val="center"/>
        <w:rPr>
          <w:rFonts w:ascii="Tahoma" w:hAnsi="Tahoma" w:cs="Tahoma"/>
          <w:b/>
          <w:sz w:val="18"/>
          <w:szCs w:val="18"/>
        </w:rPr>
      </w:pPr>
      <w:r w:rsidRPr="00842D63">
        <w:rPr>
          <w:rFonts w:ascii="Tahoma" w:hAnsi="Tahoma" w:cs="Tahoma"/>
          <w:b/>
          <w:sz w:val="18"/>
          <w:szCs w:val="18"/>
          <w:lang w:val="en-US"/>
        </w:rPr>
        <w:t>V</w:t>
      </w:r>
      <w:r w:rsidRPr="007874EE">
        <w:rPr>
          <w:rFonts w:ascii="Tahoma" w:hAnsi="Tahoma" w:cs="Tahoma"/>
          <w:b/>
          <w:sz w:val="18"/>
          <w:szCs w:val="18"/>
        </w:rPr>
        <w:t xml:space="preserve">. </w:t>
      </w:r>
      <w:r w:rsidRPr="00842D63">
        <w:rPr>
          <w:rFonts w:ascii="Tahoma" w:hAnsi="Tahoma" w:cs="Tahoma"/>
          <w:b/>
          <w:sz w:val="18"/>
          <w:szCs w:val="18"/>
        </w:rPr>
        <w:t>ΔΙΑΔΙΚΑΣΙΑ ΑΝΑΔΕΙΞΗΣ ΑΝΑΔΟΧΟΥ</w:t>
      </w:r>
    </w:p>
    <w:p w:rsidR="007874EE" w:rsidRDefault="007874EE" w:rsidP="00DA64C5">
      <w:pPr>
        <w:spacing w:line="280" w:lineRule="exact"/>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7874EE" w:rsidRPr="0009047D" w:rsidTr="00D97F69">
        <w:tc>
          <w:tcPr>
            <w:tcW w:w="9322" w:type="dxa"/>
            <w:shd w:val="clear" w:color="auto" w:fill="CCCCCC"/>
          </w:tcPr>
          <w:p w:rsidR="007874EE" w:rsidRPr="00772510" w:rsidRDefault="007874EE" w:rsidP="00D97F69">
            <w:pPr>
              <w:pStyle w:val="2"/>
              <w:spacing w:before="120" w:after="120" w:line="280" w:lineRule="exact"/>
              <w:rPr>
                <w:rFonts w:ascii="Tahoma" w:eastAsia="Arial Unicode MS" w:hAnsi="Tahoma" w:cs="Tahoma"/>
                <w:sz w:val="18"/>
                <w:szCs w:val="18"/>
                <w:lang w:eastAsia="el-GR"/>
              </w:rPr>
            </w:pPr>
            <w:r>
              <w:rPr>
                <w:rFonts w:ascii="Tahoma" w:eastAsia="Arial Unicode MS" w:hAnsi="Tahoma" w:cs="Tahoma"/>
                <w:sz w:val="18"/>
                <w:szCs w:val="18"/>
                <w:lang w:eastAsia="el-GR"/>
              </w:rPr>
              <w:t>Ερώτηση 9</w:t>
            </w:r>
            <w:r w:rsidRPr="007B61B8">
              <w:rPr>
                <w:rFonts w:ascii="Tahoma" w:eastAsia="Arial Unicode MS" w:hAnsi="Tahoma" w:cs="Tahoma"/>
                <w:sz w:val="18"/>
                <w:szCs w:val="18"/>
                <w:lang w:eastAsia="el-GR"/>
              </w:rPr>
              <w:t xml:space="preserve">: </w:t>
            </w:r>
            <w:r w:rsidRPr="007874EE">
              <w:rPr>
                <w:rFonts w:ascii="Tahoma" w:hAnsi="Tahoma" w:cs="Tahoma"/>
                <w:sz w:val="18"/>
                <w:szCs w:val="18"/>
              </w:rPr>
              <w:t>Σε περίπτωση προσφυγής στην κλειστή διαδικασία, στη διαδικασία διαπραγμάτευσης με δημοσίευση προκήρυξης διαγωνισμού και στον ανταγωνιστικό διάλογο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r>
    </w:tbl>
    <w:p w:rsidR="007874EE" w:rsidRPr="007874EE" w:rsidRDefault="007874EE" w:rsidP="007874EE">
      <w:pPr>
        <w:spacing w:line="280" w:lineRule="exact"/>
        <w:jc w:val="both"/>
        <w:rPr>
          <w:rFonts w:ascii="Tahoma" w:hAnsi="Tahoma" w:cs="Tahoma"/>
          <w:bCs/>
          <w:sz w:val="18"/>
          <w:szCs w:val="18"/>
          <w:lang w:eastAsia="en-US"/>
        </w:rPr>
      </w:pPr>
      <w:r w:rsidRPr="007874EE">
        <w:rPr>
          <w:rFonts w:ascii="Tahoma" w:hAnsi="Tahoma" w:cs="Tahoma"/>
          <w:bCs/>
          <w:sz w:val="18"/>
          <w:szCs w:val="18"/>
          <w:lang w:eastAsia="en-US"/>
        </w:rPr>
        <w:t>Σύμφωνα με το αρ. 42 του ΠΔ 60/2007 το κατώτατο όριο δεν μπορεί να είναι μικρότερο από πέντε στην κλειστή διαδικασία και μικρότερο από τρεις στη διαδικασία διαπραγμάτευσης και ανταγωνιστικού διαλόγου.</w:t>
      </w:r>
    </w:p>
    <w:p w:rsidR="007874EE" w:rsidRDefault="007874EE"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Default="007874EE" w:rsidP="007874EE">
      <w:pPr>
        <w:spacing w:line="280" w:lineRule="exact"/>
        <w:jc w:val="both"/>
        <w:rPr>
          <w:rFonts w:ascii="Tahoma" w:hAnsi="Tahoma" w:cs="Tahoma"/>
          <w:b/>
          <w:sz w:val="18"/>
          <w:szCs w:val="18"/>
        </w:rPr>
      </w:pPr>
      <w:r w:rsidRPr="007874EE">
        <w:rPr>
          <w:rFonts w:ascii="Tahoma" w:hAnsi="Tahoma" w:cs="Tahoma"/>
          <w:bCs/>
          <w:sz w:val="18"/>
          <w:szCs w:val="18"/>
        </w:rPr>
        <w:t>αρ. 42, παρ.3 ΠΔ 60/2007</w:t>
      </w:r>
    </w:p>
    <w:p w:rsidR="0092176E" w:rsidRPr="00DC2AE3" w:rsidRDefault="00D279F8" w:rsidP="00D279F8">
      <w:pPr>
        <w:spacing w:before="120" w:after="120" w:line="280" w:lineRule="exact"/>
        <w:jc w:val="center"/>
        <w:rPr>
          <w:rFonts w:ascii="Tahoma" w:eastAsia="Arial Unicode MS" w:hAnsi="Tahoma" w:cs="Tahoma"/>
          <w:bCs/>
          <w:iCs/>
          <w:sz w:val="18"/>
          <w:szCs w:val="18"/>
        </w:rPr>
      </w:pPr>
      <w:r w:rsidRPr="00B02FEE">
        <w:rPr>
          <w:rFonts w:ascii="Tahoma" w:hAnsi="Tahoma" w:cs="Tahoma"/>
          <w:b/>
          <w:sz w:val="18"/>
          <w:szCs w:val="18"/>
          <w:lang w:val="en-US"/>
        </w:rPr>
        <w:t>V</w:t>
      </w:r>
      <w:r w:rsidRPr="00B02FEE">
        <w:rPr>
          <w:rFonts w:ascii="Tahoma" w:hAnsi="Tahoma" w:cs="Tahoma"/>
          <w:b/>
          <w:sz w:val="18"/>
          <w:szCs w:val="18"/>
        </w:rPr>
        <w:t>.</w:t>
      </w:r>
      <w:r w:rsidR="0010244F">
        <w:rPr>
          <w:rFonts w:ascii="Tahoma" w:hAnsi="Tahoma" w:cs="Tahoma"/>
          <w:b/>
          <w:sz w:val="18"/>
          <w:szCs w:val="18"/>
        </w:rPr>
        <w:t>ΦΥΣΙΚΟ ΑΝΤΙΚΕΙΜΕΝΟ</w:t>
      </w:r>
    </w:p>
    <w:p w:rsidR="005C4340" w:rsidRPr="00DC2AE3" w:rsidRDefault="007874EE" w:rsidP="00A33897">
      <w:pPr>
        <w:pBdr>
          <w:top w:val="single" w:sz="4" w:space="1" w:color="auto"/>
          <w:left w:val="single" w:sz="4" w:space="4" w:color="auto"/>
          <w:bottom w:val="single" w:sz="4" w:space="1" w:color="auto"/>
          <w:right w:val="single" w:sz="4" w:space="4" w:color="auto"/>
        </w:pBdr>
        <w:shd w:val="clear" w:color="auto" w:fill="CCCCCC"/>
        <w:spacing w:before="120" w:after="120" w:line="280" w:lineRule="exact"/>
        <w:jc w:val="both"/>
        <w:rPr>
          <w:rFonts w:ascii="Tahoma" w:eastAsia="Arial Unicode MS" w:hAnsi="Tahoma" w:cs="Tahoma"/>
          <w:b/>
          <w:bCs/>
          <w:i/>
          <w:iCs/>
          <w:sz w:val="18"/>
          <w:szCs w:val="18"/>
        </w:rPr>
      </w:pPr>
      <w:r>
        <w:rPr>
          <w:rFonts w:ascii="Tahoma" w:eastAsia="Arial Unicode MS" w:hAnsi="Tahoma" w:cs="Tahoma"/>
          <w:b/>
          <w:bCs/>
          <w:i/>
          <w:iCs/>
          <w:sz w:val="18"/>
          <w:szCs w:val="18"/>
        </w:rPr>
        <w:t>Ερώτηση 18</w:t>
      </w:r>
      <w:r w:rsidR="00D279F8">
        <w:rPr>
          <w:rFonts w:ascii="Tahoma" w:eastAsia="Arial Unicode MS" w:hAnsi="Tahoma" w:cs="Tahoma"/>
          <w:b/>
          <w:bCs/>
          <w:i/>
          <w:iCs/>
          <w:sz w:val="18"/>
          <w:szCs w:val="18"/>
        </w:rPr>
        <w:t xml:space="preserve">: </w:t>
      </w:r>
      <w:r w:rsidR="0010244F" w:rsidRPr="0010244F">
        <w:rPr>
          <w:rFonts w:ascii="Tahoma" w:eastAsia="Arial Unicode MS" w:hAnsi="Tahoma" w:cs="Tahoma"/>
          <w:b/>
          <w:bCs/>
          <w:i/>
          <w:iCs/>
          <w:sz w:val="18"/>
          <w:szCs w:val="18"/>
        </w:rPr>
        <w:t>Το φυσικό αντικείμενο των συμβατικών τευχών συμπίπτει με το σχετικά προβλεπόμενο στην απόφαση ένταξης και σε περίπτωση που περιλαμβάνεται πρόσθετο φυσικό αντικείμενο αυτό είναι διακριτό;</w:t>
      </w:r>
    </w:p>
    <w:p w:rsidR="0092176E" w:rsidRDefault="0010244F" w:rsidP="00A33897">
      <w:pPr>
        <w:spacing w:before="120" w:after="120" w:line="280" w:lineRule="exact"/>
        <w:jc w:val="both"/>
        <w:rPr>
          <w:rFonts w:ascii="Tahoma" w:eastAsia="Arial Unicode MS" w:hAnsi="Tahoma" w:cs="Tahoma"/>
          <w:bCs/>
          <w:iCs/>
          <w:sz w:val="18"/>
          <w:szCs w:val="18"/>
        </w:rPr>
      </w:pPr>
      <w:r w:rsidRPr="0010244F">
        <w:rPr>
          <w:rFonts w:ascii="Tahoma" w:eastAsia="Arial Unicode MS" w:hAnsi="Tahoma" w:cs="Tahoma"/>
          <w:bCs/>
          <w:iCs/>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p w:rsidR="0010244F" w:rsidRDefault="007874EE" w:rsidP="0010244F">
      <w:pPr>
        <w:pBdr>
          <w:top w:val="single" w:sz="4" w:space="1" w:color="auto"/>
          <w:left w:val="single" w:sz="4" w:space="4" w:color="auto"/>
          <w:bottom w:val="single" w:sz="4" w:space="1" w:color="auto"/>
          <w:right w:val="single" w:sz="4" w:space="4" w:color="auto"/>
        </w:pBdr>
        <w:shd w:val="clear" w:color="auto" w:fill="CCCCCC"/>
        <w:spacing w:before="120" w:after="120" w:line="280" w:lineRule="exact"/>
        <w:jc w:val="both"/>
        <w:rPr>
          <w:rFonts w:ascii="Tahoma" w:eastAsia="Arial Unicode MS" w:hAnsi="Tahoma" w:cs="Tahoma"/>
          <w:bCs/>
          <w:iCs/>
          <w:sz w:val="18"/>
          <w:szCs w:val="18"/>
        </w:rPr>
      </w:pPr>
      <w:r>
        <w:rPr>
          <w:rFonts w:ascii="Tahoma" w:eastAsia="Arial Unicode MS" w:hAnsi="Tahoma" w:cs="Tahoma"/>
          <w:b/>
          <w:bCs/>
          <w:i/>
          <w:iCs/>
          <w:sz w:val="18"/>
          <w:szCs w:val="18"/>
        </w:rPr>
        <w:t>Ερώτηση 19</w:t>
      </w:r>
      <w:r w:rsidR="0010244F">
        <w:rPr>
          <w:rFonts w:ascii="Tahoma" w:eastAsia="Arial Unicode MS" w:hAnsi="Tahoma" w:cs="Tahoma"/>
          <w:b/>
          <w:bCs/>
          <w:i/>
          <w:iCs/>
          <w:sz w:val="18"/>
          <w:szCs w:val="18"/>
        </w:rPr>
        <w:t xml:space="preserve">: </w:t>
      </w:r>
      <w:r w:rsidR="0010244F" w:rsidRPr="0010244F">
        <w:rPr>
          <w:rFonts w:ascii="Tahoma" w:eastAsia="Arial Unicode MS" w:hAnsi="Tahoma" w:cs="Tahoma"/>
          <w:b/>
          <w:bCs/>
          <w:i/>
          <w:iCs/>
          <w:sz w:val="18"/>
          <w:szCs w:val="18"/>
          <w:lang w:val="en-US"/>
        </w:rPr>
        <w:t>H</w:t>
      </w:r>
      <w:r w:rsidR="0010244F" w:rsidRPr="0010244F">
        <w:rPr>
          <w:rFonts w:ascii="Tahoma" w:eastAsia="Arial Unicode MS" w:hAnsi="Tahoma" w:cs="Tahoma"/>
          <w:b/>
          <w:bCs/>
          <w:i/>
          <w:iCs/>
          <w:sz w:val="18"/>
          <w:szCs w:val="18"/>
        </w:rPr>
        <w:t xml:space="preserve"> προβλεπόμενη στα συμβατικά τεύχη διάρκεια υλοποίησης του «έργου», συμφωνεί με την προβλεπόμενη διάρκεια του «έργου» στα τεύχη διακήρυξης;</w:t>
      </w:r>
    </w:p>
    <w:p w:rsidR="0010244F" w:rsidRPr="00DC2AE3" w:rsidRDefault="0010244F" w:rsidP="00A33897">
      <w:pPr>
        <w:spacing w:before="120" w:after="120" w:line="280" w:lineRule="exact"/>
        <w:jc w:val="both"/>
        <w:rPr>
          <w:rFonts w:ascii="Tahoma" w:eastAsia="Arial Unicode MS" w:hAnsi="Tahoma" w:cs="Tahoma"/>
          <w:bCs/>
          <w:iCs/>
          <w:sz w:val="18"/>
          <w:szCs w:val="18"/>
        </w:rPr>
      </w:pPr>
      <w:r w:rsidRPr="00A66B9C">
        <w:rPr>
          <w:rFonts w:ascii="Tahoma" w:hAnsi="Tahoma" w:cs="Tahoma"/>
          <w:sz w:val="18"/>
          <w:szCs w:val="18"/>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w:t>
      </w:r>
    </w:p>
    <w:sectPr w:rsidR="0010244F" w:rsidRPr="00DC2AE3" w:rsidSect="00B441EA">
      <w:headerReference w:type="even" r:id="rId9"/>
      <w:headerReference w:type="default" r:id="rId10"/>
      <w:footerReference w:type="even" r:id="rId11"/>
      <w:footerReference w:type="default" r:id="rId12"/>
      <w:headerReference w:type="first" r:id="rId13"/>
      <w:footerReference w:type="first" r:id="rId14"/>
      <w:pgSz w:w="11906" w:h="16838"/>
      <w:pgMar w:top="851" w:right="1247" w:bottom="1276"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7E" w:rsidRDefault="00A31F7E">
      <w:r>
        <w:separator/>
      </w:r>
    </w:p>
  </w:endnote>
  <w:endnote w:type="continuationSeparator" w:id="0">
    <w:p w:rsidR="00A31F7E" w:rsidRDefault="00A3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E" w:rsidRDefault="005F074D" w:rsidP="009E73D3">
    <w:pPr>
      <w:pStyle w:val="a8"/>
      <w:framePr w:wrap="around" w:vAnchor="text" w:hAnchor="margin" w:xAlign="right" w:y="1"/>
      <w:rPr>
        <w:rStyle w:val="a9"/>
      </w:rPr>
    </w:pPr>
    <w:r>
      <w:rPr>
        <w:rStyle w:val="a9"/>
      </w:rPr>
      <w:fldChar w:fldCharType="begin"/>
    </w:r>
    <w:r w:rsidR="00F8761E">
      <w:rPr>
        <w:rStyle w:val="a9"/>
      </w:rPr>
      <w:instrText xml:space="preserve">PAGE  </w:instrText>
    </w:r>
    <w:r>
      <w:rPr>
        <w:rStyle w:val="a9"/>
      </w:rPr>
      <w:fldChar w:fldCharType="end"/>
    </w:r>
  </w:p>
  <w:p w:rsidR="00F8761E" w:rsidRDefault="00F8761E" w:rsidP="003720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CellMar>
        <w:left w:w="0" w:type="dxa"/>
        <w:right w:w="0" w:type="dxa"/>
      </w:tblCellMar>
      <w:tblLook w:val="04A0" w:firstRow="1" w:lastRow="0" w:firstColumn="1" w:lastColumn="0" w:noHBand="0" w:noVBand="1"/>
    </w:tblPr>
    <w:tblGrid>
      <w:gridCol w:w="3383"/>
      <w:gridCol w:w="2850"/>
      <w:gridCol w:w="2798"/>
    </w:tblGrid>
    <w:tr w:rsidR="0062736D" w:rsidRPr="00701EAE" w:rsidTr="0062736D">
      <w:trPr>
        <w:jc w:val="center"/>
      </w:trPr>
      <w:tc>
        <w:tcPr>
          <w:tcW w:w="3383" w:type="dxa"/>
          <w:tcBorders>
            <w:top w:val="single" w:sz="8" w:space="0" w:color="auto"/>
            <w:left w:val="nil"/>
            <w:bottom w:val="nil"/>
            <w:right w:val="nil"/>
          </w:tcBorders>
          <w:tcMar>
            <w:top w:w="0" w:type="dxa"/>
            <w:left w:w="108" w:type="dxa"/>
            <w:bottom w:w="0" w:type="dxa"/>
            <w:right w:w="108" w:type="dxa"/>
          </w:tcMar>
          <w:hideMark/>
        </w:tcPr>
        <w:p w:rsidR="0062736D" w:rsidRPr="00B441EA" w:rsidRDefault="00E557FC" w:rsidP="00AD1D52">
          <w:pPr>
            <w:spacing w:before="120"/>
            <w:rPr>
              <w:rFonts w:ascii="Tahoma" w:eastAsia="Calibri" w:hAnsi="Tahoma" w:cs="Tahoma"/>
              <w:iCs/>
              <w:sz w:val="16"/>
              <w:szCs w:val="16"/>
              <w:lang w:eastAsia="en-US"/>
            </w:rPr>
          </w:pPr>
          <w:r>
            <w:rPr>
              <w:rFonts w:ascii="Tahoma" w:eastAsia="Calibri" w:hAnsi="Tahoma" w:cs="Tahoma"/>
              <w:iCs/>
              <w:sz w:val="16"/>
              <w:szCs w:val="16"/>
              <w:lang w:eastAsia="en-US"/>
            </w:rPr>
            <w:t>Οδηγία: Ο</w:t>
          </w:r>
          <w:r w:rsidR="00B3226D">
            <w:rPr>
              <w:rFonts w:ascii="Tahoma" w:eastAsia="Calibri" w:hAnsi="Tahoma" w:cs="Tahoma"/>
              <w:iCs/>
              <w:sz w:val="16"/>
              <w:szCs w:val="16"/>
              <w:lang w:eastAsia="en-US"/>
            </w:rPr>
            <w:t>_</w:t>
          </w:r>
          <w:r w:rsidR="00147464" w:rsidRPr="00B441EA">
            <w:rPr>
              <w:rFonts w:ascii="Tahoma" w:eastAsia="Calibri" w:hAnsi="Tahoma" w:cs="Tahoma"/>
              <w:iCs/>
              <w:sz w:val="16"/>
              <w:szCs w:val="16"/>
              <w:lang w:eastAsia="en-US"/>
            </w:rPr>
            <w:t>Λ.ΙΙ.</w:t>
          </w:r>
          <w:r>
            <w:rPr>
              <w:rFonts w:ascii="Tahoma" w:eastAsia="Calibri" w:hAnsi="Tahoma" w:cs="Tahoma"/>
              <w:iCs/>
              <w:sz w:val="16"/>
              <w:szCs w:val="16"/>
              <w:lang w:eastAsia="en-US"/>
            </w:rPr>
            <w:t>3</w:t>
          </w:r>
          <w:r w:rsidR="00147464" w:rsidRPr="00B441EA">
            <w:rPr>
              <w:rFonts w:ascii="Tahoma" w:eastAsia="Calibri" w:hAnsi="Tahoma" w:cs="Tahoma"/>
              <w:iCs/>
              <w:sz w:val="16"/>
              <w:szCs w:val="16"/>
              <w:lang w:eastAsia="en-US"/>
            </w:rPr>
            <w:t>_2</w:t>
          </w:r>
        </w:p>
        <w:p w:rsidR="0062736D" w:rsidRPr="00B441EA" w:rsidRDefault="0062736D" w:rsidP="00AD1D52">
          <w:pPr>
            <w:rPr>
              <w:rFonts w:ascii="Tahoma" w:eastAsia="Calibri" w:hAnsi="Tahoma" w:cs="Tahoma"/>
              <w:iCs/>
              <w:sz w:val="16"/>
              <w:szCs w:val="16"/>
              <w:lang w:eastAsia="en-US"/>
            </w:rPr>
          </w:pPr>
          <w:r w:rsidRPr="00B441EA">
            <w:rPr>
              <w:rFonts w:ascii="Tahoma" w:eastAsia="Calibri" w:hAnsi="Tahoma" w:cs="Tahoma"/>
              <w:iCs/>
              <w:sz w:val="16"/>
              <w:szCs w:val="16"/>
              <w:lang w:eastAsia="en-US"/>
            </w:rPr>
            <w:t>Έκδοση: 1η</w:t>
          </w:r>
        </w:p>
        <w:p w:rsidR="0062736D" w:rsidRPr="00B777B2" w:rsidRDefault="00B777B2" w:rsidP="00BB1885">
          <w:pPr>
            <w:rPr>
              <w:rFonts w:ascii="Tahoma" w:eastAsia="Calibri" w:hAnsi="Tahoma" w:cs="Tahoma"/>
              <w:bCs/>
              <w:sz w:val="16"/>
              <w:szCs w:val="16"/>
              <w:lang w:val="en-US" w:eastAsia="en-US"/>
            </w:rPr>
          </w:pPr>
          <w:proofErr w:type="spellStart"/>
          <w:r>
            <w:rPr>
              <w:rFonts w:ascii="Tahoma" w:eastAsia="Calibri" w:hAnsi="Tahoma" w:cs="Tahoma"/>
              <w:iCs/>
              <w:sz w:val="16"/>
              <w:szCs w:val="16"/>
              <w:lang w:eastAsia="en-US"/>
            </w:rPr>
            <w:t>Ημ</w:t>
          </w:r>
          <w:proofErr w:type="spellEnd"/>
          <w:r>
            <w:rPr>
              <w:rFonts w:ascii="Tahoma" w:eastAsia="Calibri" w:hAnsi="Tahoma" w:cs="Tahoma"/>
              <w:iCs/>
              <w:sz w:val="16"/>
              <w:szCs w:val="16"/>
              <w:lang w:val="en-US" w:eastAsia="en-US"/>
            </w:rPr>
            <w:t>.</w:t>
          </w:r>
          <w:r w:rsidR="0062736D" w:rsidRPr="00B441EA">
            <w:rPr>
              <w:rFonts w:ascii="Tahoma" w:eastAsia="Calibri" w:hAnsi="Tahoma" w:cs="Tahoma"/>
              <w:iCs/>
              <w:sz w:val="16"/>
              <w:szCs w:val="16"/>
              <w:lang w:eastAsia="en-US"/>
            </w:rPr>
            <w:t xml:space="preserve"> </w:t>
          </w:r>
          <w:r w:rsidR="0062736D" w:rsidRPr="00B441EA">
            <w:rPr>
              <w:rFonts w:ascii="Tahoma" w:eastAsia="Calibri" w:hAnsi="Tahoma" w:cs="Tahoma"/>
              <w:iCs/>
              <w:sz w:val="16"/>
              <w:szCs w:val="16"/>
              <w:lang w:eastAsia="en-US"/>
            </w:rPr>
            <w:t>Έκδοσης:</w:t>
          </w:r>
          <w:r>
            <w:rPr>
              <w:rFonts w:ascii="Tahoma" w:eastAsia="Calibri" w:hAnsi="Tahoma" w:cs="Tahoma"/>
              <w:iCs/>
              <w:sz w:val="16"/>
              <w:szCs w:val="16"/>
              <w:lang w:val="en-US" w:eastAsia="en-US"/>
            </w:rPr>
            <w:t xml:space="preserve"> </w:t>
          </w:r>
          <w:r w:rsidR="00E52545">
            <w:rPr>
              <w:rFonts w:ascii="Tahoma" w:hAnsi="Tahoma" w:cs="Tahoma"/>
              <w:sz w:val="16"/>
              <w:szCs w:val="16"/>
              <w:lang w:val="en-US"/>
            </w:rPr>
            <w:t>8</w:t>
          </w:r>
          <w:r w:rsidR="00E52545">
            <w:rPr>
              <w:rFonts w:ascii="Tahoma" w:hAnsi="Tahoma" w:cs="Tahoma"/>
              <w:sz w:val="16"/>
              <w:szCs w:val="16"/>
            </w:rPr>
            <w:t>.</w:t>
          </w:r>
          <w:r w:rsidR="00E52545">
            <w:rPr>
              <w:rFonts w:ascii="Tahoma" w:hAnsi="Tahoma" w:cs="Tahoma"/>
              <w:sz w:val="16"/>
              <w:szCs w:val="16"/>
              <w:lang w:val="en-US"/>
            </w:rPr>
            <w:t>5</w:t>
          </w:r>
          <w:r w:rsidR="00E52545">
            <w:rPr>
              <w:rFonts w:ascii="Tahoma" w:hAnsi="Tahoma" w:cs="Tahoma"/>
              <w:sz w:val="16"/>
              <w:szCs w:val="16"/>
            </w:rPr>
            <w:t>.201</w:t>
          </w:r>
          <w:r w:rsidR="00E52545">
            <w:rPr>
              <w:rFonts w:ascii="Tahoma" w:hAnsi="Tahoma" w:cs="Tahoma"/>
              <w:sz w:val="16"/>
              <w:szCs w:val="16"/>
              <w:lang w:val="en-US"/>
            </w:rPr>
            <w:t>7</w:t>
          </w:r>
          <w:bookmarkStart w:id="0" w:name="_GoBack"/>
          <w:bookmarkEnd w:id="0"/>
        </w:p>
      </w:tc>
      <w:tc>
        <w:tcPr>
          <w:tcW w:w="2850" w:type="dxa"/>
          <w:tcBorders>
            <w:top w:val="single" w:sz="8" w:space="0" w:color="auto"/>
            <w:left w:val="nil"/>
            <w:bottom w:val="nil"/>
            <w:right w:val="nil"/>
          </w:tcBorders>
          <w:tcMar>
            <w:top w:w="0" w:type="dxa"/>
            <w:left w:w="108" w:type="dxa"/>
            <w:bottom w:w="0" w:type="dxa"/>
            <w:right w:w="108" w:type="dxa"/>
          </w:tcMar>
          <w:vAlign w:val="center"/>
          <w:hideMark/>
        </w:tcPr>
        <w:p w:rsidR="0062736D" w:rsidRPr="00B441EA" w:rsidRDefault="005F074D" w:rsidP="0062736D">
          <w:pPr>
            <w:spacing w:line="300" w:lineRule="atLeast"/>
            <w:ind w:left="400" w:hanging="468"/>
            <w:jc w:val="center"/>
            <w:rPr>
              <w:rFonts w:ascii="Tahoma" w:eastAsia="Calibri" w:hAnsi="Tahoma" w:cs="Tahoma"/>
              <w:bCs/>
              <w:sz w:val="16"/>
              <w:szCs w:val="16"/>
              <w:lang w:eastAsia="en-US"/>
            </w:rPr>
          </w:pPr>
          <w:r w:rsidRPr="00B441EA">
            <w:rPr>
              <w:rFonts w:ascii="Tahoma" w:eastAsia="Calibri" w:hAnsi="Tahoma" w:cs="Tahoma"/>
              <w:bCs/>
              <w:sz w:val="16"/>
              <w:szCs w:val="16"/>
              <w:lang w:eastAsia="en-US"/>
            </w:rPr>
            <w:fldChar w:fldCharType="begin"/>
          </w:r>
          <w:r w:rsidR="0062736D" w:rsidRPr="00B441EA">
            <w:rPr>
              <w:rFonts w:ascii="Tahoma" w:eastAsia="Calibri" w:hAnsi="Tahoma" w:cs="Tahoma"/>
              <w:bCs/>
              <w:sz w:val="16"/>
              <w:szCs w:val="16"/>
              <w:lang w:eastAsia="en-US"/>
            </w:rPr>
            <w:instrText xml:space="preserve"> PAGE   \* MERGEFORMAT </w:instrText>
          </w:r>
          <w:r w:rsidRPr="00B441EA">
            <w:rPr>
              <w:rFonts w:ascii="Tahoma" w:eastAsia="Calibri" w:hAnsi="Tahoma" w:cs="Tahoma"/>
              <w:bCs/>
              <w:sz w:val="16"/>
              <w:szCs w:val="16"/>
              <w:lang w:eastAsia="en-US"/>
            </w:rPr>
            <w:fldChar w:fldCharType="separate"/>
          </w:r>
          <w:r w:rsidR="00E52545">
            <w:rPr>
              <w:rFonts w:ascii="Tahoma" w:eastAsia="Calibri" w:hAnsi="Tahoma" w:cs="Tahoma"/>
              <w:bCs/>
              <w:noProof/>
              <w:sz w:val="16"/>
              <w:szCs w:val="16"/>
              <w:lang w:eastAsia="en-US"/>
            </w:rPr>
            <w:t>1</w:t>
          </w:r>
          <w:r w:rsidRPr="00B441EA">
            <w:rPr>
              <w:rFonts w:ascii="Tahoma" w:eastAsia="Calibri" w:hAnsi="Tahoma" w:cs="Tahoma"/>
              <w:bCs/>
              <w:noProof/>
              <w:sz w:val="16"/>
              <w:szCs w:val="16"/>
              <w:lang w:eastAsia="en-US"/>
            </w:rPr>
            <w:fldChar w:fldCharType="end"/>
          </w:r>
        </w:p>
      </w:tc>
      <w:tc>
        <w:tcPr>
          <w:tcW w:w="2798" w:type="dxa"/>
          <w:tcBorders>
            <w:top w:val="single" w:sz="8" w:space="0" w:color="auto"/>
            <w:left w:val="nil"/>
            <w:bottom w:val="nil"/>
            <w:right w:val="nil"/>
          </w:tcBorders>
          <w:tcMar>
            <w:top w:w="0" w:type="dxa"/>
            <w:left w:w="108" w:type="dxa"/>
            <w:bottom w:w="0" w:type="dxa"/>
            <w:right w:w="108" w:type="dxa"/>
          </w:tcMar>
          <w:vAlign w:val="center"/>
          <w:hideMark/>
        </w:tcPr>
        <w:p w:rsidR="0062736D" w:rsidRPr="00B441EA" w:rsidRDefault="00E557FC" w:rsidP="00E557FC">
          <w:pPr>
            <w:spacing w:before="120" w:line="300" w:lineRule="atLeast"/>
            <w:jc w:val="right"/>
            <w:rPr>
              <w:rFonts w:ascii="Tahoma" w:eastAsia="Calibri" w:hAnsi="Tahoma" w:cs="Tahoma"/>
              <w:bCs/>
              <w:sz w:val="16"/>
              <w:szCs w:val="16"/>
              <w:lang w:eastAsia="en-US"/>
            </w:rPr>
          </w:pPr>
          <w:r>
            <w:rPr>
              <w:rFonts w:ascii="Tahoma" w:hAnsi="Tahoma" w:cs="Tahoma"/>
              <w:bCs/>
              <w:noProof/>
              <w:sz w:val="16"/>
              <w:szCs w:val="16"/>
            </w:rPr>
            <w:drawing>
              <wp:inline distT="0" distB="0" distL="0" distR="0" wp14:anchorId="2E9880A3" wp14:editId="2B8BB406">
                <wp:extent cx="694690" cy="409575"/>
                <wp:effectExtent l="0" t="0" r="0" b="9525"/>
                <wp:docPr id="1"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rsidR="00F8761E" w:rsidRDefault="00F8761E" w:rsidP="0062736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45" w:rsidRDefault="00E525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7E" w:rsidRDefault="00A31F7E">
      <w:r>
        <w:separator/>
      </w:r>
    </w:p>
  </w:footnote>
  <w:footnote w:type="continuationSeparator" w:id="0">
    <w:p w:rsidR="00A31F7E" w:rsidRDefault="00A31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45" w:rsidRDefault="00E5254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45" w:rsidRDefault="00E5254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45" w:rsidRDefault="00E525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BED"/>
    <w:multiLevelType w:val="hybridMultilevel"/>
    <w:tmpl w:val="FC9A67FE"/>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B360ED"/>
    <w:multiLevelType w:val="hybridMultilevel"/>
    <w:tmpl w:val="60841A66"/>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nsid w:val="0586165A"/>
    <w:multiLevelType w:val="hybridMultilevel"/>
    <w:tmpl w:val="806AC43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627D31"/>
    <w:multiLevelType w:val="hybridMultilevel"/>
    <w:tmpl w:val="B204C338"/>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863A6E"/>
    <w:multiLevelType w:val="hybridMultilevel"/>
    <w:tmpl w:val="8EB64E00"/>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AB535FB"/>
    <w:multiLevelType w:val="hybridMultilevel"/>
    <w:tmpl w:val="A03A5612"/>
    <w:lvl w:ilvl="0" w:tplc="C9B819D6">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DB26E64"/>
    <w:multiLevelType w:val="hybridMultilevel"/>
    <w:tmpl w:val="7528112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5365D3"/>
    <w:multiLevelType w:val="hybridMultilevel"/>
    <w:tmpl w:val="B65A0F52"/>
    <w:lvl w:ilvl="0" w:tplc="4B4E578A">
      <w:start w:val="1"/>
      <w:numFmt w:val="decimal"/>
      <w:lvlText w:val="%1."/>
      <w:lvlJc w:val="left"/>
      <w:pPr>
        <w:tabs>
          <w:tab w:val="num" w:pos="720"/>
        </w:tabs>
        <w:ind w:left="720" w:hanging="360"/>
      </w:pPr>
      <w:rPr>
        <w:rFonts w:cs="Times New Roman" w:hint="default"/>
        <w:i/>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8E63B5B"/>
    <w:multiLevelType w:val="hybridMultilevel"/>
    <w:tmpl w:val="9C6681C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FFB6ECF"/>
    <w:multiLevelType w:val="hybridMultilevel"/>
    <w:tmpl w:val="736099D2"/>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AC602A"/>
    <w:multiLevelType w:val="hybridMultilevel"/>
    <w:tmpl w:val="04B606B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294CC3"/>
    <w:multiLevelType w:val="hybridMultilevel"/>
    <w:tmpl w:val="617E86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60028C9"/>
    <w:multiLevelType w:val="hybridMultilevel"/>
    <w:tmpl w:val="D05CF246"/>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61713B3"/>
    <w:multiLevelType w:val="hybridMultilevel"/>
    <w:tmpl w:val="BEB25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A27E91"/>
    <w:multiLevelType w:val="hybridMultilevel"/>
    <w:tmpl w:val="A392828A"/>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C8C6A6C"/>
    <w:multiLevelType w:val="hybridMultilevel"/>
    <w:tmpl w:val="233AF512"/>
    <w:lvl w:ilvl="0" w:tplc="4B52077E">
      <w:start w:val="1"/>
      <w:numFmt w:val="decimal"/>
      <w:lvlText w:val="%1."/>
      <w:lvlJc w:val="left"/>
      <w:pPr>
        <w:ind w:left="21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17DA7D88">
      <w:numFmt w:val="bullet"/>
      <w:lvlText w:val="•"/>
      <w:lvlJc w:val="left"/>
      <w:pPr>
        <w:ind w:left="4845" w:hanging="2685"/>
      </w:pPr>
      <w:rPr>
        <w:rFonts w:ascii="Calibri" w:eastAsia="TimesNewRomanPSMT" w:hAnsi="Calibri" w:cs="TimesNewRomanPSMT" w:hint="default"/>
      </w:r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D8E0B0B"/>
    <w:multiLevelType w:val="hybridMultilevel"/>
    <w:tmpl w:val="9B14BA30"/>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1A32477"/>
    <w:multiLevelType w:val="hybridMultilevel"/>
    <w:tmpl w:val="5E5C4A7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3D42D05"/>
    <w:multiLevelType w:val="hybridMultilevel"/>
    <w:tmpl w:val="9F029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5318C"/>
    <w:multiLevelType w:val="multilevel"/>
    <w:tmpl w:val="60841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57280B"/>
    <w:multiLevelType w:val="hybridMultilevel"/>
    <w:tmpl w:val="B57E123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F0F0125"/>
    <w:multiLevelType w:val="hybridMultilevel"/>
    <w:tmpl w:val="8F88ED8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5F9D4E67"/>
    <w:multiLevelType w:val="hybridMultilevel"/>
    <w:tmpl w:val="09F66B1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710C69"/>
    <w:multiLevelType w:val="multilevel"/>
    <w:tmpl w:val="5E5C4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603DA5"/>
    <w:multiLevelType w:val="multilevel"/>
    <w:tmpl w:val="F88230B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770966B2"/>
    <w:multiLevelType w:val="hybridMultilevel"/>
    <w:tmpl w:val="C12AFF4C"/>
    <w:lvl w:ilvl="0" w:tplc="3D4869D6">
      <w:numFmt w:val="bullet"/>
      <w:lvlText w:val="•"/>
      <w:lvlJc w:val="left"/>
      <w:pPr>
        <w:ind w:left="1080" w:hanging="72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1375BD"/>
    <w:multiLevelType w:val="hybridMultilevel"/>
    <w:tmpl w:val="3634F3BE"/>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83B3C05"/>
    <w:multiLevelType w:val="hybridMultilevel"/>
    <w:tmpl w:val="A958146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9B6029D"/>
    <w:multiLevelType w:val="hybridMultilevel"/>
    <w:tmpl w:val="E96207DA"/>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9"/>
  </w:num>
  <w:num w:numId="4">
    <w:abstractNumId w:val="22"/>
  </w:num>
  <w:num w:numId="5">
    <w:abstractNumId w:val="2"/>
  </w:num>
  <w:num w:numId="6">
    <w:abstractNumId w:val="10"/>
  </w:num>
  <w:num w:numId="7">
    <w:abstractNumId w:val="6"/>
  </w:num>
  <w:num w:numId="8">
    <w:abstractNumId w:val="25"/>
  </w:num>
  <w:num w:numId="9">
    <w:abstractNumId w:val="9"/>
  </w:num>
  <w:num w:numId="10">
    <w:abstractNumId w:val="30"/>
  </w:num>
  <w:num w:numId="11">
    <w:abstractNumId w:val="34"/>
  </w:num>
  <w:num w:numId="12">
    <w:abstractNumId w:val="4"/>
  </w:num>
  <w:num w:numId="13">
    <w:abstractNumId w:val="18"/>
  </w:num>
  <w:num w:numId="14">
    <w:abstractNumId w:val="7"/>
  </w:num>
  <w:num w:numId="15">
    <w:abstractNumId w:val="5"/>
  </w:num>
  <w:num w:numId="16">
    <w:abstractNumId w:val="32"/>
  </w:num>
  <w:num w:numId="17">
    <w:abstractNumId w:val="0"/>
  </w:num>
  <w:num w:numId="18">
    <w:abstractNumId w:val="11"/>
  </w:num>
  <w:num w:numId="19">
    <w:abstractNumId w:val="20"/>
  </w:num>
  <w:num w:numId="20">
    <w:abstractNumId w:val="21"/>
  </w:num>
  <w:num w:numId="21">
    <w:abstractNumId w:val="28"/>
  </w:num>
  <w:num w:numId="22">
    <w:abstractNumId w:val="16"/>
  </w:num>
  <w:num w:numId="23">
    <w:abstractNumId w:val="33"/>
  </w:num>
  <w:num w:numId="24">
    <w:abstractNumId w:val="1"/>
  </w:num>
  <w:num w:numId="25">
    <w:abstractNumId w:val="24"/>
  </w:num>
  <w:num w:numId="26">
    <w:abstractNumId w:val="15"/>
  </w:num>
  <w:num w:numId="27">
    <w:abstractNumId w:val="26"/>
  </w:num>
  <w:num w:numId="28">
    <w:abstractNumId w:val="8"/>
  </w:num>
  <w:num w:numId="29">
    <w:abstractNumId w:val="19"/>
  </w:num>
  <w:num w:numId="30">
    <w:abstractNumId w:val="17"/>
  </w:num>
  <w:num w:numId="31">
    <w:abstractNumId w:val="31"/>
  </w:num>
  <w:num w:numId="32">
    <w:abstractNumId w:val="14"/>
  </w:num>
  <w:num w:numId="33">
    <w:abstractNumId w:val="2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AC"/>
    <w:rsid w:val="00000578"/>
    <w:rsid w:val="0000192C"/>
    <w:rsid w:val="000041D7"/>
    <w:rsid w:val="00004299"/>
    <w:rsid w:val="00004973"/>
    <w:rsid w:val="0000576E"/>
    <w:rsid w:val="00007E50"/>
    <w:rsid w:val="00011907"/>
    <w:rsid w:val="000142FF"/>
    <w:rsid w:val="0001678C"/>
    <w:rsid w:val="00021620"/>
    <w:rsid w:val="000223B7"/>
    <w:rsid w:val="0002361E"/>
    <w:rsid w:val="000267C6"/>
    <w:rsid w:val="000273B5"/>
    <w:rsid w:val="000274C0"/>
    <w:rsid w:val="00027E7A"/>
    <w:rsid w:val="00030BDB"/>
    <w:rsid w:val="00033D3B"/>
    <w:rsid w:val="00036879"/>
    <w:rsid w:val="00040EF8"/>
    <w:rsid w:val="0004255E"/>
    <w:rsid w:val="0004422B"/>
    <w:rsid w:val="000447BE"/>
    <w:rsid w:val="000456F0"/>
    <w:rsid w:val="000475EB"/>
    <w:rsid w:val="00047E2E"/>
    <w:rsid w:val="00050AA9"/>
    <w:rsid w:val="00052E04"/>
    <w:rsid w:val="000552DD"/>
    <w:rsid w:val="00055862"/>
    <w:rsid w:val="00055939"/>
    <w:rsid w:val="00062665"/>
    <w:rsid w:val="0006593E"/>
    <w:rsid w:val="00065E69"/>
    <w:rsid w:val="00066B5B"/>
    <w:rsid w:val="00070958"/>
    <w:rsid w:val="00071A91"/>
    <w:rsid w:val="00071E08"/>
    <w:rsid w:val="00073128"/>
    <w:rsid w:val="0007484E"/>
    <w:rsid w:val="00083830"/>
    <w:rsid w:val="000854A9"/>
    <w:rsid w:val="00086FAB"/>
    <w:rsid w:val="00087C7E"/>
    <w:rsid w:val="0009047D"/>
    <w:rsid w:val="00091A86"/>
    <w:rsid w:val="00091C51"/>
    <w:rsid w:val="0009424D"/>
    <w:rsid w:val="00094827"/>
    <w:rsid w:val="00095BE1"/>
    <w:rsid w:val="00097122"/>
    <w:rsid w:val="000979A9"/>
    <w:rsid w:val="000A07A9"/>
    <w:rsid w:val="000A088D"/>
    <w:rsid w:val="000A1CC9"/>
    <w:rsid w:val="000A448A"/>
    <w:rsid w:val="000A53FD"/>
    <w:rsid w:val="000A611A"/>
    <w:rsid w:val="000A72EC"/>
    <w:rsid w:val="000B58FC"/>
    <w:rsid w:val="000B636A"/>
    <w:rsid w:val="000B721B"/>
    <w:rsid w:val="000B7B2A"/>
    <w:rsid w:val="000C1249"/>
    <w:rsid w:val="000C2998"/>
    <w:rsid w:val="000C58BF"/>
    <w:rsid w:val="000C5989"/>
    <w:rsid w:val="000C7AA7"/>
    <w:rsid w:val="000C7C27"/>
    <w:rsid w:val="000D0921"/>
    <w:rsid w:val="000D27DD"/>
    <w:rsid w:val="000E08B9"/>
    <w:rsid w:val="000E109C"/>
    <w:rsid w:val="000E2A46"/>
    <w:rsid w:val="000E3CC7"/>
    <w:rsid w:val="000F2BC6"/>
    <w:rsid w:val="000F3066"/>
    <w:rsid w:val="000F3461"/>
    <w:rsid w:val="000F3589"/>
    <w:rsid w:val="000F4197"/>
    <w:rsid w:val="000F68A9"/>
    <w:rsid w:val="00100F7A"/>
    <w:rsid w:val="00101640"/>
    <w:rsid w:val="0010244F"/>
    <w:rsid w:val="001043A8"/>
    <w:rsid w:val="00106DCC"/>
    <w:rsid w:val="00111AA2"/>
    <w:rsid w:val="001137CB"/>
    <w:rsid w:val="00121411"/>
    <w:rsid w:val="001217CB"/>
    <w:rsid w:val="00122EF0"/>
    <w:rsid w:val="001243A4"/>
    <w:rsid w:val="00125CBF"/>
    <w:rsid w:val="00126205"/>
    <w:rsid w:val="00126887"/>
    <w:rsid w:val="001402E7"/>
    <w:rsid w:val="00142DF9"/>
    <w:rsid w:val="00143C1C"/>
    <w:rsid w:val="001468E1"/>
    <w:rsid w:val="00147464"/>
    <w:rsid w:val="00147815"/>
    <w:rsid w:val="00151149"/>
    <w:rsid w:val="00152688"/>
    <w:rsid w:val="00155C8F"/>
    <w:rsid w:val="001564E8"/>
    <w:rsid w:val="00156672"/>
    <w:rsid w:val="00160337"/>
    <w:rsid w:val="00162AC6"/>
    <w:rsid w:val="001702DE"/>
    <w:rsid w:val="00175F1F"/>
    <w:rsid w:val="00176B66"/>
    <w:rsid w:val="00180207"/>
    <w:rsid w:val="00180F84"/>
    <w:rsid w:val="001834DD"/>
    <w:rsid w:val="001839D6"/>
    <w:rsid w:val="00185DF6"/>
    <w:rsid w:val="00187934"/>
    <w:rsid w:val="001908B7"/>
    <w:rsid w:val="00190B8F"/>
    <w:rsid w:val="001A062F"/>
    <w:rsid w:val="001A0D5F"/>
    <w:rsid w:val="001A1A3F"/>
    <w:rsid w:val="001A289C"/>
    <w:rsid w:val="001A51F7"/>
    <w:rsid w:val="001A603E"/>
    <w:rsid w:val="001A6E11"/>
    <w:rsid w:val="001A774B"/>
    <w:rsid w:val="001B156A"/>
    <w:rsid w:val="001B1DF2"/>
    <w:rsid w:val="001B49E1"/>
    <w:rsid w:val="001C02CB"/>
    <w:rsid w:val="001C0EA9"/>
    <w:rsid w:val="001C1C95"/>
    <w:rsid w:val="001C2481"/>
    <w:rsid w:val="001C3488"/>
    <w:rsid w:val="001C7AA4"/>
    <w:rsid w:val="001C7C9D"/>
    <w:rsid w:val="001D3306"/>
    <w:rsid w:val="001D3DF3"/>
    <w:rsid w:val="001D58DC"/>
    <w:rsid w:val="001D5CD2"/>
    <w:rsid w:val="001D7B17"/>
    <w:rsid w:val="001E09BF"/>
    <w:rsid w:val="001E0AEB"/>
    <w:rsid w:val="001E1C76"/>
    <w:rsid w:val="001E2053"/>
    <w:rsid w:val="001E3E0D"/>
    <w:rsid w:val="001E48CF"/>
    <w:rsid w:val="001E4A87"/>
    <w:rsid w:val="001E5F84"/>
    <w:rsid w:val="001E6FD7"/>
    <w:rsid w:val="001F050C"/>
    <w:rsid w:val="001F133A"/>
    <w:rsid w:val="001F280F"/>
    <w:rsid w:val="001F5D4D"/>
    <w:rsid w:val="001F6024"/>
    <w:rsid w:val="001F6E30"/>
    <w:rsid w:val="001F718F"/>
    <w:rsid w:val="001F7500"/>
    <w:rsid w:val="001F7B2E"/>
    <w:rsid w:val="00200E5C"/>
    <w:rsid w:val="00201239"/>
    <w:rsid w:val="00202DB6"/>
    <w:rsid w:val="00203AA2"/>
    <w:rsid w:val="00206322"/>
    <w:rsid w:val="002077DC"/>
    <w:rsid w:val="00207E7A"/>
    <w:rsid w:val="00213B4B"/>
    <w:rsid w:val="0021518A"/>
    <w:rsid w:val="00220576"/>
    <w:rsid w:val="00220D13"/>
    <w:rsid w:val="0022433F"/>
    <w:rsid w:val="0022684A"/>
    <w:rsid w:val="002316D3"/>
    <w:rsid w:val="00231D65"/>
    <w:rsid w:val="0023246C"/>
    <w:rsid w:val="00232746"/>
    <w:rsid w:val="00233AE1"/>
    <w:rsid w:val="00235613"/>
    <w:rsid w:val="0023568A"/>
    <w:rsid w:val="00235A94"/>
    <w:rsid w:val="00240EC0"/>
    <w:rsid w:val="002416FB"/>
    <w:rsid w:val="00242870"/>
    <w:rsid w:val="00244999"/>
    <w:rsid w:val="00245D77"/>
    <w:rsid w:val="002476A4"/>
    <w:rsid w:val="002500EA"/>
    <w:rsid w:val="00250511"/>
    <w:rsid w:val="00252C35"/>
    <w:rsid w:val="002530A5"/>
    <w:rsid w:val="00253335"/>
    <w:rsid w:val="002540C1"/>
    <w:rsid w:val="00257041"/>
    <w:rsid w:val="00261676"/>
    <w:rsid w:val="002622DD"/>
    <w:rsid w:val="00264B67"/>
    <w:rsid w:val="002672DF"/>
    <w:rsid w:val="002677B8"/>
    <w:rsid w:val="0026783C"/>
    <w:rsid w:val="00267EF4"/>
    <w:rsid w:val="00270861"/>
    <w:rsid w:val="00271CC9"/>
    <w:rsid w:val="00271EEF"/>
    <w:rsid w:val="002725C3"/>
    <w:rsid w:val="00272B5E"/>
    <w:rsid w:val="00274F39"/>
    <w:rsid w:val="00275A97"/>
    <w:rsid w:val="0027683E"/>
    <w:rsid w:val="00276A3F"/>
    <w:rsid w:val="00280B77"/>
    <w:rsid w:val="002831F0"/>
    <w:rsid w:val="00287FAC"/>
    <w:rsid w:val="00292396"/>
    <w:rsid w:val="0029605F"/>
    <w:rsid w:val="00297D9F"/>
    <w:rsid w:val="002A05D4"/>
    <w:rsid w:val="002A25B0"/>
    <w:rsid w:val="002A3F7B"/>
    <w:rsid w:val="002A45FB"/>
    <w:rsid w:val="002A4F83"/>
    <w:rsid w:val="002A578C"/>
    <w:rsid w:val="002A593F"/>
    <w:rsid w:val="002A7235"/>
    <w:rsid w:val="002B378D"/>
    <w:rsid w:val="002B6AD5"/>
    <w:rsid w:val="002B6FF2"/>
    <w:rsid w:val="002B7EF4"/>
    <w:rsid w:val="002C022B"/>
    <w:rsid w:val="002C02D5"/>
    <w:rsid w:val="002C0959"/>
    <w:rsid w:val="002C098B"/>
    <w:rsid w:val="002C0DC3"/>
    <w:rsid w:val="002C34BE"/>
    <w:rsid w:val="002C37CD"/>
    <w:rsid w:val="002C38F0"/>
    <w:rsid w:val="002C3B65"/>
    <w:rsid w:val="002C633D"/>
    <w:rsid w:val="002C6367"/>
    <w:rsid w:val="002D4C71"/>
    <w:rsid w:val="002D5407"/>
    <w:rsid w:val="002D5791"/>
    <w:rsid w:val="002D73E9"/>
    <w:rsid w:val="002E50EB"/>
    <w:rsid w:val="002F0458"/>
    <w:rsid w:val="002F0ADA"/>
    <w:rsid w:val="002F3F69"/>
    <w:rsid w:val="002F6A23"/>
    <w:rsid w:val="002F6C40"/>
    <w:rsid w:val="002F7822"/>
    <w:rsid w:val="002F7CB6"/>
    <w:rsid w:val="00302D01"/>
    <w:rsid w:val="003031F5"/>
    <w:rsid w:val="00304F9D"/>
    <w:rsid w:val="00305956"/>
    <w:rsid w:val="00310D75"/>
    <w:rsid w:val="00313342"/>
    <w:rsid w:val="00314108"/>
    <w:rsid w:val="00316096"/>
    <w:rsid w:val="00316C52"/>
    <w:rsid w:val="00320DBA"/>
    <w:rsid w:val="003225F3"/>
    <w:rsid w:val="00322910"/>
    <w:rsid w:val="0032460D"/>
    <w:rsid w:val="0032642E"/>
    <w:rsid w:val="00327668"/>
    <w:rsid w:val="00331BA4"/>
    <w:rsid w:val="00333C19"/>
    <w:rsid w:val="00333E6A"/>
    <w:rsid w:val="00334FC3"/>
    <w:rsid w:val="0033611A"/>
    <w:rsid w:val="00336983"/>
    <w:rsid w:val="0033762F"/>
    <w:rsid w:val="00340AF4"/>
    <w:rsid w:val="003462CE"/>
    <w:rsid w:val="00347538"/>
    <w:rsid w:val="00350232"/>
    <w:rsid w:val="00351483"/>
    <w:rsid w:val="00351AD0"/>
    <w:rsid w:val="0035236F"/>
    <w:rsid w:val="00352A8C"/>
    <w:rsid w:val="00354FF0"/>
    <w:rsid w:val="00355CC2"/>
    <w:rsid w:val="00355F2A"/>
    <w:rsid w:val="00356CEA"/>
    <w:rsid w:val="003572EB"/>
    <w:rsid w:val="00357CC1"/>
    <w:rsid w:val="0036028A"/>
    <w:rsid w:val="0036054C"/>
    <w:rsid w:val="00361239"/>
    <w:rsid w:val="00362BCF"/>
    <w:rsid w:val="0036301E"/>
    <w:rsid w:val="003669AA"/>
    <w:rsid w:val="00366D65"/>
    <w:rsid w:val="00370A5D"/>
    <w:rsid w:val="003719A4"/>
    <w:rsid w:val="00372027"/>
    <w:rsid w:val="00372B0D"/>
    <w:rsid w:val="003762FF"/>
    <w:rsid w:val="0037643D"/>
    <w:rsid w:val="00377AD1"/>
    <w:rsid w:val="003807EE"/>
    <w:rsid w:val="003809EA"/>
    <w:rsid w:val="00384C66"/>
    <w:rsid w:val="0038586D"/>
    <w:rsid w:val="003A214F"/>
    <w:rsid w:val="003A29B0"/>
    <w:rsid w:val="003A2B7C"/>
    <w:rsid w:val="003A2EF0"/>
    <w:rsid w:val="003A63E5"/>
    <w:rsid w:val="003A6C48"/>
    <w:rsid w:val="003B1216"/>
    <w:rsid w:val="003B3759"/>
    <w:rsid w:val="003B6D06"/>
    <w:rsid w:val="003B7028"/>
    <w:rsid w:val="003B739A"/>
    <w:rsid w:val="003B7EA4"/>
    <w:rsid w:val="003C5340"/>
    <w:rsid w:val="003C54A8"/>
    <w:rsid w:val="003C57CF"/>
    <w:rsid w:val="003C5BCB"/>
    <w:rsid w:val="003C6C05"/>
    <w:rsid w:val="003C71BB"/>
    <w:rsid w:val="003D164C"/>
    <w:rsid w:val="003D2327"/>
    <w:rsid w:val="003D42A3"/>
    <w:rsid w:val="003D4B1E"/>
    <w:rsid w:val="003D5F19"/>
    <w:rsid w:val="003D67DB"/>
    <w:rsid w:val="003D7E7E"/>
    <w:rsid w:val="003E011C"/>
    <w:rsid w:val="003E028F"/>
    <w:rsid w:val="003E1BB7"/>
    <w:rsid w:val="003E4F42"/>
    <w:rsid w:val="003F1B8F"/>
    <w:rsid w:val="003F20C5"/>
    <w:rsid w:val="003F28DC"/>
    <w:rsid w:val="003F52B0"/>
    <w:rsid w:val="003F62B7"/>
    <w:rsid w:val="004021BD"/>
    <w:rsid w:val="00403C00"/>
    <w:rsid w:val="00405F5E"/>
    <w:rsid w:val="00407B02"/>
    <w:rsid w:val="004110CB"/>
    <w:rsid w:val="00411D72"/>
    <w:rsid w:val="00411F68"/>
    <w:rsid w:val="00412250"/>
    <w:rsid w:val="0041233D"/>
    <w:rsid w:val="00416739"/>
    <w:rsid w:val="00420605"/>
    <w:rsid w:val="00423207"/>
    <w:rsid w:val="00425525"/>
    <w:rsid w:val="004320BA"/>
    <w:rsid w:val="00434E9A"/>
    <w:rsid w:val="00435A9A"/>
    <w:rsid w:val="00436092"/>
    <w:rsid w:val="00436972"/>
    <w:rsid w:val="00437724"/>
    <w:rsid w:val="00442105"/>
    <w:rsid w:val="00443414"/>
    <w:rsid w:val="0044584D"/>
    <w:rsid w:val="00445CB2"/>
    <w:rsid w:val="00445DEB"/>
    <w:rsid w:val="0045331F"/>
    <w:rsid w:val="00454966"/>
    <w:rsid w:val="00457501"/>
    <w:rsid w:val="00461CF0"/>
    <w:rsid w:val="0046558E"/>
    <w:rsid w:val="004663E8"/>
    <w:rsid w:val="00467DBA"/>
    <w:rsid w:val="00471C18"/>
    <w:rsid w:val="00472CB5"/>
    <w:rsid w:val="00472FD5"/>
    <w:rsid w:val="00475626"/>
    <w:rsid w:val="00477E79"/>
    <w:rsid w:val="00481963"/>
    <w:rsid w:val="00482B83"/>
    <w:rsid w:val="004856DF"/>
    <w:rsid w:val="004857D5"/>
    <w:rsid w:val="00485B3F"/>
    <w:rsid w:val="00492B31"/>
    <w:rsid w:val="00492B8C"/>
    <w:rsid w:val="00496691"/>
    <w:rsid w:val="004A0D93"/>
    <w:rsid w:val="004A47E2"/>
    <w:rsid w:val="004A5A3D"/>
    <w:rsid w:val="004A62F0"/>
    <w:rsid w:val="004B2941"/>
    <w:rsid w:val="004B401A"/>
    <w:rsid w:val="004B551B"/>
    <w:rsid w:val="004C1600"/>
    <w:rsid w:val="004C4750"/>
    <w:rsid w:val="004C5C27"/>
    <w:rsid w:val="004C7C1B"/>
    <w:rsid w:val="004D0CFB"/>
    <w:rsid w:val="004D0D68"/>
    <w:rsid w:val="004D2E5B"/>
    <w:rsid w:val="004D3314"/>
    <w:rsid w:val="004D66CD"/>
    <w:rsid w:val="004D69B5"/>
    <w:rsid w:val="004D7A4E"/>
    <w:rsid w:val="004E422D"/>
    <w:rsid w:val="004E6951"/>
    <w:rsid w:val="004E6965"/>
    <w:rsid w:val="00500BDE"/>
    <w:rsid w:val="00501842"/>
    <w:rsid w:val="00506179"/>
    <w:rsid w:val="005074CA"/>
    <w:rsid w:val="005104B4"/>
    <w:rsid w:val="00512F9A"/>
    <w:rsid w:val="0051470D"/>
    <w:rsid w:val="005218B4"/>
    <w:rsid w:val="005243DA"/>
    <w:rsid w:val="00524D06"/>
    <w:rsid w:val="0052613B"/>
    <w:rsid w:val="00526558"/>
    <w:rsid w:val="005275DE"/>
    <w:rsid w:val="0052773A"/>
    <w:rsid w:val="005313D0"/>
    <w:rsid w:val="00531B4D"/>
    <w:rsid w:val="005329B8"/>
    <w:rsid w:val="00535CE1"/>
    <w:rsid w:val="005407FE"/>
    <w:rsid w:val="00540BFA"/>
    <w:rsid w:val="005410EF"/>
    <w:rsid w:val="00542109"/>
    <w:rsid w:val="00542BC1"/>
    <w:rsid w:val="00544883"/>
    <w:rsid w:val="00545E2B"/>
    <w:rsid w:val="00546B1A"/>
    <w:rsid w:val="005502F0"/>
    <w:rsid w:val="005523B3"/>
    <w:rsid w:val="0055428F"/>
    <w:rsid w:val="005546F5"/>
    <w:rsid w:val="00562E6D"/>
    <w:rsid w:val="0057043E"/>
    <w:rsid w:val="00570C71"/>
    <w:rsid w:val="00571277"/>
    <w:rsid w:val="005742FE"/>
    <w:rsid w:val="0057724D"/>
    <w:rsid w:val="005811C1"/>
    <w:rsid w:val="00584F91"/>
    <w:rsid w:val="00586DF7"/>
    <w:rsid w:val="00590527"/>
    <w:rsid w:val="005927B2"/>
    <w:rsid w:val="00592E1E"/>
    <w:rsid w:val="00592FAB"/>
    <w:rsid w:val="0059340A"/>
    <w:rsid w:val="00594B85"/>
    <w:rsid w:val="00595336"/>
    <w:rsid w:val="00595988"/>
    <w:rsid w:val="005964FE"/>
    <w:rsid w:val="00596DB4"/>
    <w:rsid w:val="00597064"/>
    <w:rsid w:val="00597EF1"/>
    <w:rsid w:val="00597F60"/>
    <w:rsid w:val="005A0F78"/>
    <w:rsid w:val="005A43A4"/>
    <w:rsid w:val="005A5E51"/>
    <w:rsid w:val="005A65CC"/>
    <w:rsid w:val="005B0AB4"/>
    <w:rsid w:val="005B1720"/>
    <w:rsid w:val="005B2C1D"/>
    <w:rsid w:val="005B4106"/>
    <w:rsid w:val="005B480D"/>
    <w:rsid w:val="005C0337"/>
    <w:rsid w:val="005C0752"/>
    <w:rsid w:val="005C1D65"/>
    <w:rsid w:val="005C2A03"/>
    <w:rsid w:val="005C4340"/>
    <w:rsid w:val="005C5644"/>
    <w:rsid w:val="005C5CED"/>
    <w:rsid w:val="005C7325"/>
    <w:rsid w:val="005C7B02"/>
    <w:rsid w:val="005C7CDB"/>
    <w:rsid w:val="005D0019"/>
    <w:rsid w:val="005D306D"/>
    <w:rsid w:val="005D4321"/>
    <w:rsid w:val="005D5B48"/>
    <w:rsid w:val="005D6086"/>
    <w:rsid w:val="005E1802"/>
    <w:rsid w:val="005E3D1E"/>
    <w:rsid w:val="005E4B4E"/>
    <w:rsid w:val="005E57A9"/>
    <w:rsid w:val="005F074D"/>
    <w:rsid w:val="005F6F77"/>
    <w:rsid w:val="00601B8C"/>
    <w:rsid w:val="006026EA"/>
    <w:rsid w:val="006033BF"/>
    <w:rsid w:val="00603957"/>
    <w:rsid w:val="0060567D"/>
    <w:rsid w:val="00610EFE"/>
    <w:rsid w:val="00620069"/>
    <w:rsid w:val="00621F3C"/>
    <w:rsid w:val="00622B2E"/>
    <w:rsid w:val="00624802"/>
    <w:rsid w:val="0062511B"/>
    <w:rsid w:val="0062707E"/>
    <w:rsid w:val="0062736D"/>
    <w:rsid w:val="00635D8F"/>
    <w:rsid w:val="0063627F"/>
    <w:rsid w:val="00636C96"/>
    <w:rsid w:val="006418C4"/>
    <w:rsid w:val="00642C95"/>
    <w:rsid w:val="00647529"/>
    <w:rsid w:val="00650BB1"/>
    <w:rsid w:val="006511CB"/>
    <w:rsid w:val="00652723"/>
    <w:rsid w:val="006531FC"/>
    <w:rsid w:val="00656FCA"/>
    <w:rsid w:val="00661674"/>
    <w:rsid w:val="00663C41"/>
    <w:rsid w:val="006644AD"/>
    <w:rsid w:val="006659C0"/>
    <w:rsid w:val="00665D56"/>
    <w:rsid w:val="00665E19"/>
    <w:rsid w:val="00667995"/>
    <w:rsid w:val="00671EB6"/>
    <w:rsid w:val="0067221E"/>
    <w:rsid w:val="006734B2"/>
    <w:rsid w:val="006770DC"/>
    <w:rsid w:val="00680350"/>
    <w:rsid w:val="00680387"/>
    <w:rsid w:val="006854AC"/>
    <w:rsid w:val="00685C14"/>
    <w:rsid w:val="00685DFE"/>
    <w:rsid w:val="00685FDD"/>
    <w:rsid w:val="006900DD"/>
    <w:rsid w:val="0069013D"/>
    <w:rsid w:val="006905C5"/>
    <w:rsid w:val="00691EB2"/>
    <w:rsid w:val="00692B5C"/>
    <w:rsid w:val="00693D63"/>
    <w:rsid w:val="006941DF"/>
    <w:rsid w:val="00696971"/>
    <w:rsid w:val="00696CC0"/>
    <w:rsid w:val="006A0DBB"/>
    <w:rsid w:val="006A1EE0"/>
    <w:rsid w:val="006A1F10"/>
    <w:rsid w:val="006A20CF"/>
    <w:rsid w:val="006A266E"/>
    <w:rsid w:val="006A40B8"/>
    <w:rsid w:val="006A5B62"/>
    <w:rsid w:val="006A66C3"/>
    <w:rsid w:val="006A686B"/>
    <w:rsid w:val="006A6CC3"/>
    <w:rsid w:val="006B1A54"/>
    <w:rsid w:val="006B20D6"/>
    <w:rsid w:val="006B3705"/>
    <w:rsid w:val="006C14BC"/>
    <w:rsid w:val="006C3440"/>
    <w:rsid w:val="006C4022"/>
    <w:rsid w:val="006C4A3D"/>
    <w:rsid w:val="006C4CAD"/>
    <w:rsid w:val="006C4D0D"/>
    <w:rsid w:val="006C5527"/>
    <w:rsid w:val="006C74BE"/>
    <w:rsid w:val="006C7A87"/>
    <w:rsid w:val="006D0CFC"/>
    <w:rsid w:val="006D2A69"/>
    <w:rsid w:val="006D3CDC"/>
    <w:rsid w:val="006D4003"/>
    <w:rsid w:val="006D544A"/>
    <w:rsid w:val="006D5CD5"/>
    <w:rsid w:val="006D6354"/>
    <w:rsid w:val="006D6ABC"/>
    <w:rsid w:val="006E0DB1"/>
    <w:rsid w:val="006E1338"/>
    <w:rsid w:val="006E22DF"/>
    <w:rsid w:val="006E4B40"/>
    <w:rsid w:val="006E5621"/>
    <w:rsid w:val="006F379E"/>
    <w:rsid w:val="006F452B"/>
    <w:rsid w:val="006F56E4"/>
    <w:rsid w:val="006F67E8"/>
    <w:rsid w:val="006F7301"/>
    <w:rsid w:val="0070063E"/>
    <w:rsid w:val="00701EAE"/>
    <w:rsid w:val="00702665"/>
    <w:rsid w:val="00703B3A"/>
    <w:rsid w:val="007043A3"/>
    <w:rsid w:val="00705369"/>
    <w:rsid w:val="007055A4"/>
    <w:rsid w:val="0071373E"/>
    <w:rsid w:val="00715AC3"/>
    <w:rsid w:val="00721D19"/>
    <w:rsid w:val="007229E5"/>
    <w:rsid w:val="00723597"/>
    <w:rsid w:val="0072455E"/>
    <w:rsid w:val="007246B5"/>
    <w:rsid w:val="0072582C"/>
    <w:rsid w:val="00731196"/>
    <w:rsid w:val="007347FB"/>
    <w:rsid w:val="00737621"/>
    <w:rsid w:val="007430C4"/>
    <w:rsid w:val="0074652D"/>
    <w:rsid w:val="00747E4D"/>
    <w:rsid w:val="00750497"/>
    <w:rsid w:val="007517EC"/>
    <w:rsid w:val="0075310C"/>
    <w:rsid w:val="00753711"/>
    <w:rsid w:val="00756196"/>
    <w:rsid w:val="007568C7"/>
    <w:rsid w:val="007571A3"/>
    <w:rsid w:val="00757784"/>
    <w:rsid w:val="00757F3D"/>
    <w:rsid w:val="007646DF"/>
    <w:rsid w:val="00767BDC"/>
    <w:rsid w:val="007712EA"/>
    <w:rsid w:val="00771445"/>
    <w:rsid w:val="00772510"/>
    <w:rsid w:val="00772D67"/>
    <w:rsid w:val="00774B1B"/>
    <w:rsid w:val="00776500"/>
    <w:rsid w:val="0077714A"/>
    <w:rsid w:val="007826D7"/>
    <w:rsid w:val="00785549"/>
    <w:rsid w:val="007856F4"/>
    <w:rsid w:val="00786000"/>
    <w:rsid w:val="007871FC"/>
    <w:rsid w:val="007874EE"/>
    <w:rsid w:val="00790FF8"/>
    <w:rsid w:val="00792134"/>
    <w:rsid w:val="007928B7"/>
    <w:rsid w:val="00792A9E"/>
    <w:rsid w:val="007933FC"/>
    <w:rsid w:val="007943C0"/>
    <w:rsid w:val="007A05A6"/>
    <w:rsid w:val="007A3736"/>
    <w:rsid w:val="007A3B8D"/>
    <w:rsid w:val="007A47FB"/>
    <w:rsid w:val="007A5764"/>
    <w:rsid w:val="007A754D"/>
    <w:rsid w:val="007A7F0A"/>
    <w:rsid w:val="007B081F"/>
    <w:rsid w:val="007B5363"/>
    <w:rsid w:val="007B53C9"/>
    <w:rsid w:val="007B61B8"/>
    <w:rsid w:val="007B65AA"/>
    <w:rsid w:val="007B665A"/>
    <w:rsid w:val="007B6A02"/>
    <w:rsid w:val="007C0458"/>
    <w:rsid w:val="007C0571"/>
    <w:rsid w:val="007C3F73"/>
    <w:rsid w:val="007D10FD"/>
    <w:rsid w:val="007D5234"/>
    <w:rsid w:val="007D5F65"/>
    <w:rsid w:val="007D78EA"/>
    <w:rsid w:val="007D7F23"/>
    <w:rsid w:val="007F1025"/>
    <w:rsid w:val="007F7AC3"/>
    <w:rsid w:val="007F7F85"/>
    <w:rsid w:val="0080348B"/>
    <w:rsid w:val="008034CF"/>
    <w:rsid w:val="00804333"/>
    <w:rsid w:val="00805C8F"/>
    <w:rsid w:val="008066E3"/>
    <w:rsid w:val="008119DB"/>
    <w:rsid w:val="008135F3"/>
    <w:rsid w:val="00813A25"/>
    <w:rsid w:val="00816218"/>
    <w:rsid w:val="00816BFA"/>
    <w:rsid w:val="008227DE"/>
    <w:rsid w:val="0082295E"/>
    <w:rsid w:val="00822C15"/>
    <w:rsid w:val="008242D6"/>
    <w:rsid w:val="0082555D"/>
    <w:rsid w:val="00830C61"/>
    <w:rsid w:val="00832C6D"/>
    <w:rsid w:val="00833556"/>
    <w:rsid w:val="00833A51"/>
    <w:rsid w:val="0083400E"/>
    <w:rsid w:val="008374EA"/>
    <w:rsid w:val="00837522"/>
    <w:rsid w:val="008413BE"/>
    <w:rsid w:val="00841593"/>
    <w:rsid w:val="00844B6F"/>
    <w:rsid w:val="0084651D"/>
    <w:rsid w:val="0084747B"/>
    <w:rsid w:val="008505BC"/>
    <w:rsid w:val="00852C06"/>
    <w:rsid w:val="008531E5"/>
    <w:rsid w:val="0085381F"/>
    <w:rsid w:val="00854295"/>
    <w:rsid w:val="008560A8"/>
    <w:rsid w:val="008612CC"/>
    <w:rsid w:val="00863326"/>
    <w:rsid w:val="008665AE"/>
    <w:rsid w:val="00870B73"/>
    <w:rsid w:val="00871010"/>
    <w:rsid w:val="00872386"/>
    <w:rsid w:val="00873B09"/>
    <w:rsid w:val="00875BC4"/>
    <w:rsid w:val="008770F0"/>
    <w:rsid w:val="008819DD"/>
    <w:rsid w:val="00885486"/>
    <w:rsid w:val="0088599E"/>
    <w:rsid w:val="00886E04"/>
    <w:rsid w:val="008902BB"/>
    <w:rsid w:val="00890D0B"/>
    <w:rsid w:val="008940C5"/>
    <w:rsid w:val="00895BAB"/>
    <w:rsid w:val="00895F3A"/>
    <w:rsid w:val="0089775F"/>
    <w:rsid w:val="008A1EB8"/>
    <w:rsid w:val="008A3827"/>
    <w:rsid w:val="008A390A"/>
    <w:rsid w:val="008A5D1A"/>
    <w:rsid w:val="008B0E37"/>
    <w:rsid w:val="008B14AD"/>
    <w:rsid w:val="008B376D"/>
    <w:rsid w:val="008C0D57"/>
    <w:rsid w:val="008C4797"/>
    <w:rsid w:val="008D04C6"/>
    <w:rsid w:val="008D26E0"/>
    <w:rsid w:val="008D37A8"/>
    <w:rsid w:val="008D478F"/>
    <w:rsid w:val="008D4C41"/>
    <w:rsid w:val="008D7A2B"/>
    <w:rsid w:val="008D7B93"/>
    <w:rsid w:val="008E142F"/>
    <w:rsid w:val="008E208B"/>
    <w:rsid w:val="008E3A3C"/>
    <w:rsid w:val="008E42A1"/>
    <w:rsid w:val="008E5155"/>
    <w:rsid w:val="008F0F49"/>
    <w:rsid w:val="008F2CD8"/>
    <w:rsid w:val="008F49D0"/>
    <w:rsid w:val="008F7BC1"/>
    <w:rsid w:val="00900017"/>
    <w:rsid w:val="009028EE"/>
    <w:rsid w:val="00904DEE"/>
    <w:rsid w:val="00911CAA"/>
    <w:rsid w:val="00912E68"/>
    <w:rsid w:val="009140F7"/>
    <w:rsid w:val="009141AB"/>
    <w:rsid w:val="0091589B"/>
    <w:rsid w:val="0091727E"/>
    <w:rsid w:val="0092176E"/>
    <w:rsid w:val="00927428"/>
    <w:rsid w:val="0092766C"/>
    <w:rsid w:val="00930FD9"/>
    <w:rsid w:val="00933D1F"/>
    <w:rsid w:val="00934334"/>
    <w:rsid w:val="009353AB"/>
    <w:rsid w:val="00935D84"/>
    <w:rsid w:val="00940896"/>
    <w:rsid w:val="009415AC"/>
    <w:rsid w:val="00942E38"/>
    <w:rsid w:val="009438DD"/>
    <w:rsid w:val="00945A4D"/>
    <w:rsid w:val="00946246"/>
    <w:rsid w:val="009500BE"/>
    <w:rsid w:val="00953C0A"/>
    <w:rsid w:val="009548C7"/>
    <w:rsid w:val="009550F4"/>
    <w:rsid w:val="00956E37"/>
    <w:rsid w:val="00961551"/>
    <w:rsid w:val="009621D8"/>
    <w:rsid w:val="0096652B"/>
    <w:rsid w:val="00966608"/>
    <w:rsid w:val="00971DB4"/>
    <w:rsid w:val="009754CB"/>
    <w:rsid w:val="00980FA0"/>
    <w:rsid w:val="00981EE3"/>
    <w:rsid w:val="009824B2"/>
    <w:rsid w:val="00983D12"/>
    <w:rsid w:val="00985B08"/>
    <w:rsid w:val="00986BFE"/>
    <w:rsid w:val="009904FA"/>
    <w:rsid w:val="0099271A"/>
    <w:rsid w:val="00994829"/>
    <w:rsid w:val="009A11E3"/>
    <w:rsid w:val="009A1E3F"/>
    <w:rsid w:val="009A2AB1"/>
    <w:rsid w:val="009A6A0F"/>
    <w:rsid w:val="009A7134"/>
    <w:rsid w:val="009A7135"/>
    <w:rsid w:val="009A7CB8"/>
    <w:rsid w:val="009B0CEF"/>
    <w:rsid w:val="009B1E9E"/>
    <w:rsid w:val="009B2192"/>
    <w:rsid w:val="009B515B"/>
    <w:rsid w:val="009C09D3"/>
    <w:rsid w:val="009C1B9C"/>
    <w:rsid w:val="009C1F0F"/>
    <w:rsid w:val="009C329E"/>
    <w:rsid w:val="009C7FDC"/>
    <w:rsid w:val="009D0714"/>
    <w:rsid w:val="009D1C4C"/>
    <w:rsid w:val="009D3B18"/>
    <w:rsid w:val="009D47C9"/>
    <w:rsid w:val="009D49D2"/>
    <w:rsid w:val="009D5F34"/>
    <w:rsid w:val="009D6B56"/>
    <w:rsid w:val="009D787E"/>
    <w:rsid w:val="009E0B47"/>
    <w:rsid w:val="009E166D"/>
    <w:rsid w:val="009E33FA"/>
    <w:rsid w:val="009E6C7B"/>
    <w:rsid w:val="009E73D3"/>
    <w:rsid w:val="009F20E5"/>
    <w:rsid w:val="009F3818"/>
    <w:rsid w:val="009F41C3"/>
    <w:rsid w:val="009F42E2"/>
    <w:rsid w:val="009F6AE9"/>
    <w:rsid w:val="009F70C3"/>
    <w:rsid w:val="00A02C87"/>
    <w:rsid w:val="00A03656"/>
    <w:rsid w:val="00A050AD"/>
    <w:rsid w:val="00A10066"/>
    <w:rsid w:val="00A1012B"/>
    <w:rsid w:val="00A10EE3"/>
    <w:rsid w:val="00A119BE"/>
    <w:rsid w:val="00A1274E"/>
    <w:rsid w:val="00A1275D"/>
    <w:rsid w:val="00A12DC2"/>
    <w:rsid w:val="00A14956"/>
    <w:rsid w:val="00A15098"/>
    <w:rsid w:val="00A15567"/>
    <w:rsid w:val="00A179B3"/>
    <w:rsid w:val="00A17A6B"/>
    <w:rsid w:val="00A204DD"/>
    <w:rsid w:val="00A20E5D"/>
    <w:rsid w:val="00A21829"/>
    <w:rsid w:val="00A22D03"/>
    <w:rsid w:val="00A25EA5"/>
    <w:rsid w:val="00A2683E"/>
    <w:rsid w:val="00A30AA3"/>
    <w:rsid w:val="00A31F7E"/>
    <w:rsid w:val="00A33897"/>
    <w:rsid w:val="00A3799F"/>
    <w:rsid w:val="00A4041C"/>
    <w:rsid w:val="00A41CEE"/>
    <w:rsid w:val="00A422AC"/>
    <w:rsid w:val="00A43507"/>
    <w:rsid w:val="00A44C3E"/>
    <w:rsid w:val="00A45436"/>
    <w:rsid w:val="00A45933"/>
    <w:rsid w:val="00A46160"/>
    <w:rsid w:val="00A46212"/>
    <w:rsid w:val="00A5051C"/>
    <w:rsid w:val="00A54FAB"/>
    <w:rsid w:val="00A55198"/>
    <w:rsid w:val="00A56F73"/>
    <w:rsid w:val="00A6228E"/>
    <w:rsid w:val="00A65248"/>
    <w:rsid w:val="00A653CD"/>
    <w:rsid w:val="00A65EC6"/>
    <w:rsid w:val="00A66BE0"/>
    <w:rsid w:val="00A701D3"/>
    <w:rsid w:val="00A72258"/>
    <w:rsid w:val="00A7621B"/>
    <w:rsid w:val="00A7781B"/>
    <w:rsid w:val="00A826D1"/>
    <w:rsid w:val="00A8400C"/>
    <w:rsid w:val="00A8533A"/>
    <w:rsid w:val="00A875E1"/>
    <w:rsid w:val="00A920E4"/>
    <w:rsid w:val="00A924BC"/>
    <w:rsid w:val="00A93754"/>
    <w:rsid w:val="00A937A1"/>
    <w:rsid w:val="00A94061"/>
    <w:rsid w:val="00A96141"/>
    <w:rsid w:val="00AA0D6C"/>
    <w:rsid w:val="00AA1894"/>
    <w:rsid w:val="00AA2596"/>
    <w:rsid w:val="00AA291E"/>
    <w:rsid w:val="00AA4F57"/>
    <w:rsid w:val="00AA5B38"/>
    <w:rsid w:val="00AB020D"/>
    <w:rsid w:val="00AB079F"/>
    <w:rsid w:val="00AB08CA"/>
    <w:rsid w:val="00AB178A"/>
    <w:rsid w:val="00AB2793"/>
    <w:rsid w:val="00AB419C"/>
    <w:rsid w:val="00AB6C8E"/>
    <w:rsid w:val="00AC042B"/>
    <w:rsid w:val="00AC111A"/>
    <w:rsid w:val="00AC1B49"/>
    <w:rsid w:val="00AC4179"/>
    <w:rsid w:val="00AC5F16"/>
    <w:rsid w:val="00AD04A2"/>
    <w:rsid w:val="00AD1264"/>
    <w:rsid w:val="00AD1D52"/>
    <w:rsid w:val="00AD2B3E"/>
    <w:rsid w:val="00AD2E01"/>
    <w:rsid w:val="00AD3224"/>
    <w:rsid w:val="00AD506C"/>
    <w:rsid w:val="00AD58A5"/>
    <w:rsid w:val="00AD6896"/>
    <w:rsid w:val="00AD7567"/>
    <w:rsid w:val="00AE431F"/>
    <w:rsid w:val="00AE4C4B"/>
    <w:rsid w:val="00AE6360"/>
    <w:rsid w:val="00AE6D23"/>
    <w:rsid w:val="00AE7059"/>
    <w:rsid w:val="00AE71A1"/>
    <w:rsid w:val="00AE7CA3"/>
    <w:rsid w:val="00AF569B"/>
    <w:rsid w:val="00AF62C0"/>
    <w:rsid w:val="00AF67B6"/>
    <w:rsid w:val="00B00664"/>
    <w:rsid w:val="00B00D6D"/>
    <w:rsid w:val="00B0130F"/>
    <w:rsid w:val="00B02E1E"/>
    <w:rsid w:val="00B033C8"/>
    <w:rsid w:val="00B0397B"/>
    <w:rsid w:val="00B039FE"/>
    <w:rsid w:val="00B046A8"/>
    <w:rsid w:val="00B06ECD"/>
    <w:rsid w:val="00B10ED3"/>
    <w:rsid w:val="00B11A50"/>
    <w:rsid w:val="00B12175"/>
    <w:rsid w:val="00B1375D"/>
    <w:rsid w:val="00B20ED2"/>
    <w:rsid w:val="00B22A58"/>
    <w:rsid w:val="00B25EE6"/>
    <w:rsid w:val="00B27AF8"/>
    <w:rsid w:val="00B3226D"/>
    <w:rsid w:val="00B338A4"/>
    <w:rsid w:val="00B346C5"/>
    <w:rsid w:val="00B34A60"/>
    <w:rsid w:val="00B4069E"/>
    <w:rsid w:val="00B441EA"/>
    <w:rsid w:val="00B44D1F"/>
    <w:rsid w:val="00B45DCA"/>
    <w:rsid w:val="00B45E4E"/>
    <w:rsid w:val="00B4742F"/>
    <w:rsid w:val="00B474CA"/>
    <w:rsid w:val="00B475E1"/>
    <w:rsid w:val="00B51F41"/>
    <w:rsid w:val="00B5521B"/>
    <w:rsid w:val="00B60184"/>
    <w:rsid w:val="00B61C7C"/>
    <w:rsid w:val="00B6210D"/>
    <w:rsid w:val="00B63266"/>
    <w:rsid w:val="00B63B9D"/>
    <w:rsid w:val="00B66124"/>
    <w:rsid w:val="00B661E4"/>
    <w:rsid w:val="00B70AFB"/>
    <w:rsid w:val="00B717B7"/>
    <w:rsid w:val="00B72667"/>
    <w:rsid w:val="00B737C9"/>
    <w:rsid w:val="00B777B2"/>
    <w:rsid w:val="00B80F04"/>
    <w:rsid w:val="00B8153C"/>
    <w:rsid w:val="00B8214D"/>
    <w:rsid w:val="00B86B12"/>
    <w:rsid w:val="00B90349"/>
    <w:rsid w:val="00B90F9E"/>
    <w:rsid w:val="00B927E2"/>
    <w:rsid w:val="00B92FB5"/>
    <w:rsid w:val="00B95CEB"/>
    <w:rsid w:val="00B965C5"/>
    <w:rsid w:val="00B97CF1"/>
    <w:rsid w:val="00BA03E6"/>
    <w:rsid w:val="00BB031A"/>
    <w:rsid w:val="00BB1885"/>
    <w:rsid w:val="00BB1D0F"/>
    <w:rsid w:val="00BB4E05"/>
    <w:rsid w:val="00BB512E"/>
    <w:rsid w:val="00BB5516"/>
    <w:rsid w:val="00BB6019"/>
    <w:rsid w:val="00BB697D"/>
    <w:rsid w:val="00BB7F90"/>
    <w:rsid w:val="00BB7FEB"/>
    <w:rsid w:val="00BC0A0F"/>
    <w:rsid w:val="00BC1E7C"/>
    <w:rsid w:val="00BC2E77"/>
    <w:rsid w:val="00BC7EF1"/>
    <w:rsid w:val="00BC7F15"/>
    <w:rsid w:val="00BD2E5D"/>
    <w:rsid w:val="00BD6330"/>
    <w:rsid w:val="00BE0FFF"/>
    <w:rsid w:val="00BE3631"/>
    <w:rsid w:val="00BE5418"/>
    <w:rsid w:val="00BE5FB8"/>
    <w:rsid w:val="00BE67EB"/>
    <w:rsid w:val="00BE79B3"/>
    <w:rsid w:val="00BF0A4D"/>
    <w:rsid w:val="00BF2399"/>
    <w:rsid w:val="00BF439D"/>
    <w:rsid w:val="00BF7DA7"/>
    <w:rsid w:val="00C00E8C"/>
    <w:rsid w:val="00C02FB8"/>
    <w:rsid w:val="00C067A7"/>
    <w:rsid w:val="00C07702"/>
    <w:rsid w:val="00C10C63"/>
    <w:rsid w:val="00C11663"/>
    <w:rsid w:val="00C1625E"/>
    <w:rsid w:val="00C17352"/>
    <w:rsid w:val="00C17BC2"/>
    <w:rsid w:val="00C229C0"/>
    <w:rsid w:val="00C22C1F"/>
    <w:rsid w:val="00C232C3"/>
    <w:rsid w:val="00C2440A"/>
    <w:rsid w:val="00C2780E"/>
    <w:rsid w:val="00C27D69"/>
    <w:rsid w:val="00C300F2"/>
    <w:rsid w:val="00C3260A"/>
    <w:rsid w:val="00C32B0A"/>
    <w:rsid w:val="00C33476"/>
    <w:rsid w:val="00C33E8B"/>
    <w:rsid w:val="00C36DA2"/>
    <w:rsid w:val="00C413C8"/>
    <w:rsid w:val="00C41455"/>
    <w:rsid w:val="00C42753"/>
    <w:rsid w:val="00C44C00"/>
    <w:rsid w:val="00C44F7C"/>
    <w:rsid w:val="00C4571F"/>
    <w:rsid w:val="00C462C2"/>
    <w:rsid w:val="00C4649D"/>
    <w:rsid w:val="00C50665"/>
    <w:rsid w:val="00C5243A"/>
    <w:rsid w:val="00C52D2A"/>
    <w:rsid w:val="00C537AC"/>
    <w:rsid w:val="00C600EF"/>
    <w:rsid w:val="00C61F69"/>
    <w:rsid w:val="00C623B4"/>
    <w:rsid w:val="00C70370"/>
    <w:rsid w:val="00C706C3"/>
    <w:rsid w:val="00C70C2E"/>
    <w:rsid w:val="00C72AA7"/>
    <w:rsid w:val="00C737DE"/>
    <w:rsid w:val="00C7664B"/>
    <w:rsid w:val="00C801E6"/>
    <w:rsid w:val="00C86C1E"/>
    <w:rsid w:val="00C86CA7"/>
    <w:rsid w:val="00C86F6F"/>
    <w:rsid w:val="00C87BCE"/>
    <w:rsid w:val="00C90FA5"/>
    <w:rsid w:val="00C92C09"/>
    <w:rsid w:val="00C94873"/>
    <w:rsid w:val="00C95948"/>
    <w:rsid w:val="00C96F84"/>
    <w:rsid w:val="00C97CF4"/>
    <w:rsid w:val="00CA0E04"/>
    <w:rsid w:val="00CA1790"/>
    <w:rsid w:val="00CA29EB"/>
    <w:rsid w:val="00CA4A92"/>
    <w:rsid w:val="00CA5C8B"/>
    <w:rsid w:val="00CA5ECF"/>
    <w:rsid w:val="00CA6D1C"/>
    <w:rsid w:val="00CB0659"/>
    <w:rsid w:val="00CB08E7"/>
    <w:rsid w:val="00CB0E8B"/>
    <w:rsid w:val="00CB3756"/>
    <w:rsid w:val="00CB4CB9"/>
    <w:rsid w:val="00CB60EF"/>
    <w:rsid w:val="00CC0E2E"/>
    <w:rsid w:val="00CC2157"/>
    <w:rsid w:val="00CC24D4"/>
    <w:rsid w:val="00CC2F6D"/>
    <w:rsid w:val="00CC496B"/>
    <w:rsid w:val="00CC6D32"/>
    <w:rsid w:val="00CD0EC8"/>
    <w:rsid w:val="00CE0145"/>
    <w:rsid w:val="00CE2722"/>
    <w:rsid w:val="00CE3FCE"/>
    <w:rsid w:val="00CE4E2D"/>
    <w:rsid w:val="00CE61E4"/>
    <w:rsid w:val="00CE7CBF"/>
    <w:rsid w:val="00CF2872"/>
    <w:rsid w:val="00CF3F8B"/>
    <w:rsid w:val="00CF4091"/>
    <w:rsid w:val="00CF47E8"/>
    <w:rsid w:val="00CF5680"/>
    <w:rsid w:val="00D00D2A"/>
    <w:rsid w:val="00D01865"/>
    <w:rsid w:val="00D0514E"/>
    <w:rsid w:val="00D10388"/>
    <w:rsid w:val="00D103A2"/>
    <w:rsid w:val="00D11D5D"/>
    <w:rsid w:val="00D1231D"/>
    <w:rsid w:val="00D14CC0"/>
    <w:rsid w:val="00D14EC8"/>
    <w:rsid w:val="00D168C9"/>
    <w:rsid w:val="00D20C50"/>
    <w:rsid w:val="00D220FC"/>
    <w:rsid w:val="00D2229A"/>
    <w:rsid w:val="00D2365E"/>
    <w:rsid w:val="00D23899"/>
    <w:rsid w:val="00D25BD9"/>
    <w:rsid w:val="00D279F8"/>
    <w:rsid w:val="00D333E3"/>
    <w:rsid w:val="00D351D8"/>
    <w:rsid w:val="00D36799"/>
    <w:rsid w:val="00D36D3B"/>
    <w:rsid w:val="00D373BC"/>
    <w:rsid w:val="00D37E34"/>
    <w:rsid w:val="00D413F1"/>
    <w:rsid w:val="00D463CC"/>
    <w:rsid w:val="00D46ACC"/>
    <w:rsid w:val="00D46C10"/>
    <w:rsid w:val="00D50F8F"/>
    <w:rsid w:val="00D5560D"/>
    <w:rsid w:val="00D5684A"/>
    <w:rsid w:val="00D57900"/>
    <w:rsid w:val="00D6652F"/>
    <w:rsid w:val="00D671FD"/>
    <w:rsid w:val="00D724ED"/>
    <w:rsid w:val="00D729C2"/>
    <w:rsid w:val="00D765CC"/>
    <w:rsid w:val="00D76E34"/>
    <w:rsid w:val="00D81965"/>
    <w:rsid w:val="00D81FB6"/>
    <w:rsid w:val="00D82309"/>
    <w:rsid w:val="00D83FEA"/>
    <w:rsid w:val="00D85E13"/>
    <w:rsid w:val="00D86E45"/>
    <w:rsid w:val="00D875A2"/>
    <w:rsid w:val="00D91F1D"/>
    <w:rsid w:val="00D9220B"/>
    <w:rsid w:val="00D946DB"/>
    <w:rsid w:val="00DA08F6"/>
    <w:rsid w:val="00DA0DC1"/>
    <w:rsid w:val="00DA1127"/>
    <w:rsid w:val="00DA2B24"/>
    <w:rsid w:val="00DA5B3A"/>
    <w:rsid w:val="00DA64C5"/>
    <w:rsid w:val="00DA7C31"/>
    <w:rsid w:val="00DA7F2B"/>
    <w:rsid w:val="00DB0F14"/>
    <w:rsid w:val="00DB2C8F"/>
    <w:rsid w:val="00DB7043"/>
    <w:rsid w:val="00DB747F"/>
    <w:rsid w:val="00DB7F67"/>
    <w:rsid w:val="00DC09C7"/>
    <w:rsid w:val="00DC2AE3"/>
    <w:rsid w:val="00DC3586"/>
    <w:rsid w:val="00DC48F1"/>
    <w:rsid w:val="00DC4BF7"/>
    <w:rsid w:val="00DC624B"/>
    <w:rsid w:val="00DD6940"/>
    <w:rsid w:val="00DE05BF"/>
    <w:rsid w:val="00DE0766"/>
    <w:rsid w:val="00DE1357"/>
    <w:rsid w:val="00DE5FD3"/>
    <w:rsid w:val="00DE63CD"/>
    <w:rsid w:val="00DE6B94"/>
    <w:rsid w:val="00DF2899"/>
    <w:rsid w:val="00DF41AD"/>
    <w:rsid w:val="00DF421B"/>
    <w:rsid w:val="00DF68C2"/>
    <w:rsid w:val="00E0040C"/>
    <w:rsid w:val="00E00E85"/>
    <w:rsid w:val="00E00EA3"/>
    <w:rsid w:val="00E01703"/>
    <w:rsid w:val="00E03939"/>
    <w:rsid w:val="00E04ED4"/>
    <w:rsid w:val="00E06927"/>
    <w:rsid w:val="00E069DD"/>
    <w:rsid w:val="00E07BD8"/>
    <w:rsid w:val="00E1184E"/>
    <w:rsid w:val="00E12473"/>
    <w:rsid w:val="00E1293A"/>
    <w:rsid w:val="00E12C2F"/>
    <w:rsid w:val="00E133DB"/>
    <w:rsid w:val="00E16783"/>
    <w:rsid w:val="00E1732E"/>
    <w:rsid w:val="00E2211A"/>
    <w:rsid w:val="00E26A0A"/>
    <w:rsid w:val="00E2765D"/>
    <w:rsid w:val="00E32299"/>
    <w:rsid w:val="00E4021F"/>
    <w:rsid w:val="00E43412"/>
    <w:rsid w:val="00E467F7"/>
    <w:rsid w:val="00E52545"/>
    <w:rsid w:val="00E5327D"/>
    <w:rsid w:val="00E557FC"/>
    <w:rsid w:val="00E5775C"/>
    <w:rsid w:val="00E63F4D"/>
    <w:rsid w:val="00E63FFB"/>
    <w:rsid w:val="00E655D5"/>
    <w:rsid w:val="00E663C6"/>
    <w:rsid w:val="00E66DCB"/>
    <w:rsid w:val="00E67DCD"/>
    <w:rsid w:val="00E703AE"/>
    <w:rsid w:val="00E70E22"/>
    <w:rsid w:val="00E72D47"/>
    <w:rsid w:val="00E73231"/>
    <w:rsid w:val="00E73DA9"/>
    <w:rsid w:val="00E8064A"/>
    <w:rsid w:val="00E81A0B"/>
    <w:rsid w:val="00E83E67"/>
    <w:rsid w:val="00E85DF4"/>
    <w:rsid w:val="00E8623C"/>
    <w:rsid w:val="00E922C0"/>
    <w:rsid w:val="00E927C4"/>
    <w:rsid w:val="00E94452"/>
    <w:rsid w:val="00E94826"/>
    <w:rsid w:val="00E96FD0"/>
    <w:rsid w:val="00EA00B3"/>
    <w:rsid w:val="00EA059F"/>
    <w:rsid w:val="00EA0C15"/>
    <w:rsid w:val="00EA2DB4"/>
    <w:rsid w:val="00EA3E2C"/>
    <w:rsid w:val="00EA4440"/>
    <w:rsid w:val="00EA463D"/>
    <w:rsid w:val="00EB04A1"/>
    <w:rsid w:val="00EB1889"/>
    <w:rsid w:val="00EB1D56"/>
    <w:rsid w:val="00EB1DB7"/>
    <w:rsid w:val="00EB2A60"/>
    <w:rsid w:val="00EB4848"/>
    <w:rsid w:val="00EB6A05"/>
    <w:rsid w:val="00EB7451"/>
    <w:rsid w:val="00EC14E6"/>
    <w:rsid w:val="00EC2BD8"/>
    <w:rsid w:val="00EC7C4A"/>
    <w:rsid w:val="00ED21F5"/>
    <w:rsid w:val="00ED2D22"/>
    <w:rsid w:val="00ED59F4"/>
    <w:rsid w:val="00ED6659"/>
    <w:rsid w:val="00ED7E73"/>
    <w:rsid w:val="00EE020A"/>
    <w:rsid w:val="00EE16F7"/>
    <w:rsid w:val="00EE4D48"/>
    <w:rsid w:val="00EE4FF2"/>
    <w:rsid w:val="00EF3DEB"/>
    <w:rsid w:val="00EF547A"/>
    <w:rsid w:val="00EF65F9"/>
    <w:rsid w:val="00EF6E6B"/>
    <w:rsid w:val="00F00D06"/>
    <w:rsid w:val="00F0395E"/>
    <w:rsid w:val="00F04537"/>
    <w:rsid w:val="00F05B47"/>
    <w:rsid w:val="00F05B72"/>
    <w:rsid w:val="00F1077E"/>
    <w:rsid w:val="00F11976"/>
    <w:rsid w:val="00F13A4F"/>
    <w:rsid w:val="00F15AC0"/>
    <w:rsid w:val="00F20800"/>
    <w:rsid w:val="00F2576A"/>
    <w:rsid w:val="00F26359"/>
    <w:rsid w:val="00F317A1"/>
    <w:rsid w:val="00F327A9"/>
    <w:rsid w:val="00F33ACD"/>
    <w:rsid w:val="00F36343"/>
    <w:rsid w:val="00F36F24"/>
    <w:rsid w:val="00F37FCC"/>
    <w:rsid w:val="00F40485"/>
    <w:rsid w:val="00F42FB0"/>
    <w:rsid w:val="00F434EE"/>
    <w:rsid w:val="00F43E40"/>
    <w:rsid w:val="00F453C1"/>
    <w:rsid w:val="00F4658D"/>
    <w:rsid w:val="00F46833"/>
    <w:rsid w:val="00F51B30"/>
    <w:rsid w:val="00F537DF"/>
    <w:rsid w:val="00F53F95"/>
    <w:rsid w:val="00F6091E"/>
    <w:rsid w:val="00F62A40"/>
    <w:rsid w:val="00F66415"/>
    <w:rsid w:val="00F72347"/>
    <w:rsid w:val="00F72E06"/>
    <w:rsid w:val="00F73507"/>
    <w:rsid w:val="00F75EFD"/>
    <w:rsid w:val="00F80672"/>
    <w:rsid w:val="00F830B4"/>
    <w:rsid w:val="00F832F3"/>
    <w:rsid w:val="00F83345"/>
    <w:rsid w:val="00F84C0E"/>
    <w:rsid w:val="00F8761E"/>
    <w:rsid w:val="00F95B46"/>
    <w:rsid w:val="00F95C4F"/>
    <w:rsid w:val="00F97405"/>
    <w:rsid w:val="00FA16C3"/>
    <w:rsid w:val="00FA1D38"/>
    <w:rsid w:val="00FA1F1A"/>
    <w:rsid w:val="00FA3AD2"/>
    <w:rsid w:val="00FA486C"/>
    <w:rsid w:val="00FA48B5"/>
    <w:rsid w:val="00FA54B1"/>
    <w:rsid w:val="00FA75D3"/>
    <w:rsid w:val="00FB0117"/>
    <w:rsid w:val="00FB189C"/>
    <w:rsid w:val="00FB3BB2"/>
    <w:rsid w:val="00FB584D"/>
    <w:rsid w:val="00FB6304"/>
    <w:rsid w:val="00FC0762"/>
    <w:rsid w:val="00FC1C9E"/>
    <w:rsid w:val="00FC2F6A"/>
    <w:rsid w:val="00FC4A24"/>
    <w:rsid w:val="00FC4B6F"/>
    <w:rsid w:val="00FD08D3"/>
    <w:rsid w:val="00FD12BC"/>
    <w:rsid w:val="00FD25EA"/>
    <w:rsid w:val="00FD3C32"/>
    <w:rsid w:val="00FD5BA8"/>
    <w:rsid w:val="00FD6370"/>
    <w:rsid w:val="00FD74DF"/>
    <w:rsid w:val="00FD79BA"/>
    <w:rsid w:val="00FE1938"/>
    <w:rsid w:val="00FE1D56"/>
    <w:rsid w:val="00FE2AF3"/>
    <w:rsid w:val="00FE51B1"/>
    <w:rsid w:val="00FF0B75"/>
    <w:rsid w:val="00FF2524"/>
    <w:rsid w:val="00FF2D9E"/>
    <w:rsid w:val="00FF4847"/>
    <w:rsid w:val="00FF76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BD9"/>
    <w:rPr>
      <w:sz w:val="24"/>
      <w:szCs w:val="24"/>
    </w:rPr>
  </w:style>
  <w:style w:type="paragraph" w:styleId="2">
    <w:name w:val="heading 2"/>
    <w:basedOn w:val="a"/>
    <w:next w:val="a"/>
    <w:qFormat/>
    <w:rsid w:val="00647529"/>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CF56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1DB7"/>
    <w:pPr>
      <w:autoSpaceDE w:val="0"/>
      <w:autoSpaceDN w:val="0"/>
      <w:adjustRightInd w:val="0"/>
      <w:spacing w:after="160" w:line="240" w:lineRule="exact"/>
    </w:pPr>
    <w:rPr>
      <w:rFonts w:ascii="Verdana" w:hAnsi="Verdana"/>
      <w:sz w:val="20"/>
      <w:szCs w:val="20"/>
      <w:lang w:val="en-US" w:eastAsia="en-US"/>
    </w:rPr>
  </w:style>
  <w:style w:type="character" w:styleId="a3">
    <w:name w:val="annotation reference"/>
    <w:semiHidden/>
    <w:rsid w:val="00EA059F"/>
    <w:rPr>
      <w:sz w:val="16"/>
      <w:szCs w:val="16"/>
    </w:rPr>
  </w:style>
  <w:style w:type="paragraph" w:styleId="a4">
    <w:name w:val="annotation text"/>
    <w:basedOn w:val="a"/>
    <w:semiHidden/>
    <w:rsid w:val="00EA059F"/>
    <w:rPr>
      <w:sz w:val="20"/>
      <w:szCs w:val="20"/>
    </w:rPr>
  </w:style>
  <w:style w:type="paragraph" w:styleId="a5">
    <w:name w:val="annotation subject"/>
    <w:basedOn w:val="a4"/>
    <w:next w:val="a4"/>
    <w:semiHidden/>
    <w:rsid w:val="00EA059F"/>
    <w:rPr>
      <w:b/>
      <w:bCs/>
    </w:rPr>
  </w:style>
  <w:style w:type="paragraph" w:styleId="a6">
    <w:name w:val="Balloon Text"/>
    <w:basedOn w:val="a"/>
    <w:semiHidden/>
    <w:rsid w:val="00EA059F"/>
    <w:rPr>
      <w:rFonts w:ascii="Tahoma" w:hAnsi="Tahoma" w:cs="Tahoma"/>
      <w:sz w:val="16"/>
      <w:szCs w:val="16"/>
    </w:rPr>
  </w:style>
  <w:style w:type="table" w:styleId="a7">
    <w:name w:val="Table Grid"/>
    <w:basedOn w:val="a1"/>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E2722"/>
    <w:pPr>
      <w:tabs>
        <w:tab w:val="center" w:pos="4153"/>
        <w:tab w:val="right" w:pos="8306"/>
      </w:tabs>
    </w:pPr>
  </w:style>
  <w:style w:type="table" w:customStyle="1" w:styleId="20">
    <w:name w:val="Πλέγμα πίνακα2"/>
    <w:basedOn w:val="a1"/>
    <w:next w:val="a7"/>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26887"/>
    <w:rPr>
      <w:rFonts w:ascii="Courier New" w:hAnsi="Courier New" w:cs="Courier New"/>
      <w:sz w:val="20"/>
      <w:szCs w:val="20"/>
    </w:rPr>
  </w:style>
  <w:style w:type="character" w:styleId="a9">
    <w:name w:val="page number"/>
    <w:basedOn w:val="a0"/>
    <w:rsid w:val="00372027"/>
  </w:style>
  <w:style w:type="character" w:styleId="-">
    <w:name w:val="Hyperlink"/>
    <w:rsid w:val="00FD08D3"/>
    <w:rPr>
      <w:color w:val="0000FF"/>
      <w:u w:val="single"/>
    </w:rPr>
  </w:style>
  <w:style w:type="paragraph" w:styleId="Web">
    <w:name w:val="Normal (Web)"/>
    <w:basedOn w:val="a"/>
    <w:rsid w:val="00E04ED4"/>
    <w:pPr>
      <w:spacing w:before="100" w:beforeAutospacing="1" w:after="100" w:afterAutospacing="1"/>
    </w:pPr>
  </w:style>
  <w:style w:type="paragraph" w:customStyle="1" w:styleId="c01pointnumerotealtn">
    <w:name w:val="c01pointnumerotealtn"/>
    <w:basedOn w:val="a"/>
    <w:rsid w:val="00E5775C"/>
    <w:pPr>
      <w:spacing w:before="100" w:beforeAutospacing="1" w:after="240"/>
      <w:ind w:left="567" w:hanging="539"/>
      <w:jc w:val="both"/>
    </w:pPr>
    <w:rPr>
      <w:rFonts w:ascii="Arial" w:hAnsi="Arial" w:cs="Arial"/>
      <w:sz w:val="22"/>
      <w:szCs w:val="22"/>
    </w:rPr>
  </w:style>
  <w:style w:type="paragraph" w:customStyle="1" w:styleId="c03tiretlong">
    <w:name w:val="c03tiretlong"/>
    <w:basedOn w:val="a"/>
    <w:rsid w:val="00E5775C"/>
    <w:pPr>
      <w:spacing w:before="100" w:beforeAutospacing="1" w:after="240"/>
      <w:ind w:left="1134" w:hanging="567"/>
      <w:jc w:val="both"/>
    </w:pPr>
    <w:rPr>
      <w:rFonts w:ascii="Arial" w:hAnsi="Arial" w:cs="Arial"/>
      <w:sz w:val="22"/>
      <w:szCs w:val="22"/>
    </w:rPr>
  </w:style>
  <w:style w:type="paragraph" w:customStyle="1" w:styleId="Char1">
    <w:name w:val="Char1"/>
    <w:basedOn w:val="a"/>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aa">
    <w:name w:val="header"/>
    <w:basedOn w:val="a"/>
    <w:rsid w:val="0089775F"/>
    <w:pPr>
      <w:tabs>
        <w:tab w:val="center" w:pos="4153"/>
        <w:tab w:val="right" w:pos="8306"/>
      </w:tabs>
    </w:pPr>
  </w:style>
  <w:style w:type="paragraph" w:styleId="ab">
    <w:name w:val="footnote text"/>
    <w:basedOn w:val="a"/>
    <w:link w:val="Char0"/>
    <w:semiHidden/>
    <w:rsid w:val="00E43412"/>
    <w:rPr>
      <w:sz w:val="20"/>
      <w:szCs w:val="20"/>
    </w:rPr>
  </w:style>
  <w:style w:type="paragraph" w:customStyle="1" w:styleId="CharCharCharChar">
    <w:name w:val="Char Char Char Char"/>
    <w:basedOn w:val="a"/>
    <w:rsid w:val="0032460D"/>
    <w:pPr>
      <w:spacing w:after="160" w:line="240" w:lineRule="exact"/>
      <w:jc w:val="both"/>
    </w:pPr>
    <w:rPr>
      <w:rFonts w:ascii="Verdana" w:hAnsi="Verdana"/>
      <w:sz w:val="20"/>
      <w:szCs w:val="20"/>
      <w:lang w:val="en-US" w:eastAsia="en-US"/>
    </w:rPr>
  </w:style>
  <w:style w:type="character" w:styleId="ac">
    <w:name w:val="footnote reference"/>
    <w:rsid w:val="00EC14E6"/>
    <w:rPr>
      <w:vertAlign w:val="superscript"/>
    </w:rPr>
  </w:style>
  <w:style w:type="character" w:customStyle="1" w:styleId="Char0">
    <w:name w:val="Κείμενο υποσημείωσης Char"/>
    <w:basedOn w:val="a0"/>
    <w:link w:val="ab"/>
    <w:semiHidden/>
    <w:locked/>
    <w:rsid w:val="00B965C5"/>
  </w:style>
  <w:style w:type="paragraph" w:styleId="ad">
    <w:name w:val="Body Text"/>
    <w:basedOn w:val="a"/>
    <w:link w:val="Char2"/>
    <w:rsid w:val="0010244F"/>
    <w:pPr>
      <w:ind w:right="-99"/>
      <w:jc w:val="both"/>
    </w:pPr>
    <w:rPr>
      <w:rFonts w:ascii="Arial" w:hAnsi="Arial" w:cs="Arial"/>
      <w:szCs w:val="20"/>
      <w:lang w:eastAsia="en-US"/>
    </w:rPr>
  </w:style>
  <w:style w:type="character" w:customStyle="1" w:styleId="Char2">
    <w:name w:val="Σώμα κειμένου Char"/>
    <w:basedOn w:val="a0"/>
    <w:link w:val="ad"/>
    <w:rsid w:val="0010244F"/>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BD9"/>
    <w:rPr>
      <w:sz w:val="24"/>
      <w:szCs w:val="24"/>
    </w:rPr>
  </w:style>
  <w:style w:type="paragraph" w:styleId="2">
    <w:name w:val="heading 2"/>
    <w:basedOn w:val="a"/>
    <w:next w:val="a"/>
    <w:qFormat/>
    <w:rsid w:val="00647529"/>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CF56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1DB7"/>
    <w:pPr>
      <w:autoSpaceDE w:val="0"/>
      <w:autoSpaceDN w:val="0"/>
      <w:adjustRightInd w:val="0"/>
      <w:spacing w:after="160" w:line="240" w:lineRule="exact"/>
    </w:pPr>
    <w:rPr>
      <w:rFonts w:ascii="Verdana" w:hAnsi="Verdana"/>
      <w:sz w:val="20"/>
      <w:szCs w:val="20"/>
      <w:lang w:val="en-US" w:eastAsia="en-US"/>
    </w:rPr>
  </w:style>
  <w:style w:type="character" w:styleId="a3">
    <w:name w:val="annotation reference"/>
    <w:semiHidden/>
    <w:rsid w:val="00EA059F"/>
    <w:rPr>
      <w:sz w:val="16"/>
      <w:szCs w:val="16"/>
    </w:rPr>
  </w:style>
  <w:style w:type="paragraph" w:styleId="a4">
    <w:name w:val="annotation text"/>
    <w:basedOn w:val="a"/>
    <w:semiHidden/>
    <w:rsid w:val="00EA059F"/>
    <w:rPr>
      <w:sz w:val="20"/>
      <w:szCs w:val="20"/>
    </w:rPr>
  </w:style>
  <w:style w:type="paragraph" w:styleId="a5">
    <w:name w:val="annotation subject"/>
    <w:basedOn w:val="a4"/>
    <w:next w:val="a4"/>
    <w:semiHidden/>
    <w:rsid w:val="00EA059F"/>
    <w:rPr>
      <w:b/>
      <w:bCs/>
    </w:rPr>
  </w:style>
  <w:style w:type="paragraph" w:styleId="a6">
    <w:name w:val="Balloon Text"/>
    <w:basedOn w:val="a"/>
    <w:semiHidden/>
    <w:rsid w:val="00EA059F"/>
    <w:rPr>
      <w:rFonts w:ascii="Tahoma" w:hAnsi="Tahoma" w:cs="Tahoma"/>
      <w:sz w:val="16"/>
      <w:szCs w:val="16"/>
    </w:rPr>
  </w:style>
  <w:style w:type="table" w:styleId="a7">
    <w:name w:val="Table Grid"/>
    <w:basedOn w:val="a1"/>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E2722"/>
    <w:pPr>
      <w:tabs>
        <w:tab w:val="center" w:pos="4153"/>
        <w:tab w:val="right" w:pos="8306"/>
      </w:tabs>
    </w:pPr>
  </w:style>
  <w:style w:type="table" w:customStyle="1" w:styleId="20">
    <w:name w:val="Πλέγμα πίνακα2"/>
    <w:basedOn w:val="a1"/>
    <w:next w:val="a7"/>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26887"/>
    <w:rPr>
      <w:rFonts w:ascii="Courier New" w:hAnsi="Courier New" w:cs="Courier New"/>
      <w:sz w:val="20"/>
      <w:szCs w:val="20"/>
    </w:rPr>
  </w:style>
  <w:style w:type="character" w:styleId="a9">
    <w:name w:val="page number"/>
    <w:basedOn w:val="a0"/>
    <w:rsid w:val="00372027"/>
  </w:style>
  <w:style w:type="character" w:styleId="-">
    <w:name w:val="Hyperlink"/>
    <w:rsid w:val="00FD08D3"/>
    <w:rPr>
      <w:color w:val="0000FF"/>
      <w:u w:val="single"/>
    </w:rPr>
  </w:style>
  <w:style w:type="paragraph" w:styleId="Web">
    <w:name w:val="Normal (Web)"/>
    <w:basedOn w:val="a"/>
    <w:rsid w:val="00E04ED4"/>
    <w:pPr>
      <w:spacing w:before="100" w:beforeAutospacing="1" w:after="100" w:afterAutospacing="1"/>
    </w:pPr>
  </w:style>
  <w:style w:type="paragraph" w:customStyle="1" w:styleId="c01pointnumerotealtn">
    <w:name w:val="c01pointnumerotealtn"/>
    <w:basedOn w:val="a"/>
    <w:rsid w:val="00E5775C"/>
    <w:pPr>
      <w:spacing w:before="100" w:beforeAutospacing="1" w:after="240"/>
      <w:ind w:left="567" w:hanging="539"/>
      <w:jc w:val="both"/>
    </w:pPr>
    <w:rPr>
      <w:rFonts w:ascii="Arial" w:hAnsi="Arial" w:cs="Arial"/>
      <w:sz w:val="22"/>
      <w:szCs w:val="22"/>
    </w:rPr>
  </w:style>
  <w:style w:type="paragraph" w:customStyle="1" w:styleId="c03tiretlong">
    <w:name w:val="c03tiretlong"/>
    <w:basedOn w:val="a"/>
    <w:rsid w:val="00E5775C"/>
    <w:pPr>
      <w:spacing w:before="100" w:beforeAutospacing="1" w:after="240"/>
      <w:ind w:left="1134" w:hanging="567"/>
      <w:jc w:val="both"/>
    </w:pPr>
    <w:rPr>
      <w:rFonts w:ascii="Arial" w:hAnsi="Arial" w:cs="Arial"/>
      <w:sz w:val="22"/>
      <w:szCs w:val="22"/>
    </w:rPr>
  </w:style>
  <w:style w:type="paragraph" w:customStyle="1" w:styleId="Char1">
    <w:name w:val="Char1"/>
    <w:basedOn w:val="a"/>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aa">
    <w:name w:val="header"/>
    <w:basedOn w:val="a"/>
    <w:rsid w:val="0089775F"/>
    <w:pPr>
      <w:tabs>
        <w:tab w:val="center" w:pos="4153"/>
        <w:tab w:val="right" w:pos="8306"/>
      </w:tabs>
    </w:pPr>
  </w:style>
  <w:style w:type="paragraph" w:styleId="ab">
    <w:name w:val="footnote text"/>
    <w:basedOn w:val="a"/>
    <w:link w:val="Char0"/>
    <w:semiHidden/>
    <w:rsid w:val="00E43412"/>
    <w:rPr>
      <w:sz w:val="20"/>
      <w:szCs w:val="20"/>
    </w:rPr>
  </w:style>
  <w:style w:type="paragraph" w:customStyle="1" w:styleId="CharCharCharChar">
    <w:name w:val="Char Char Char Char"/>
    <w:basedOn w:val="a"/>
    <w:rsid w:val="0032460D"/>
    <w:pPr>
      <w:spacing w:after="160" w:line="240" w:lineRule="exact"/>
      <w:jc w:val="both"/>
    </w:pPr>
    <w:rPr>
      <w:rFonts w:ascii="Verdana" w:hAnsi="Verdana"/>
      <w:sz w:val="20"/>
      <w:szCs w:val="20"/>
      <w:lang w:val="en-US" w:eastAsia="en-US"/>
    </w:rPr>
  </w:style>
  <w:style w:type="character" w:styleId="ac">
    <w:name w:val="footnote reference"/>
    <w:rsid w:val="00EC14E6"/>
    <w:rPr>
      <w:vertAlign w:val="superscript"/>
    </w:rPr>
  </w:style>
  <w:style w:type="character" w:customStyle="1" w:styleId="Char0">
    <w:name w:val="Κείμενο υποσημείωσης Char"/>
    <w:basedOn w:val="a0"/>
    <w:link w:val="ab"/>
    <w:semiHidden/>
    <w:locked/>
    <w:rsid w:val="00B965C5"/>
  </w:style>
  <w:style w:type="paragraph" w:styleId="ad">
    <w:name w:val="Body Text"/>
    <w:basedOn w:val="a"/>
    <w:link w:val="Char2"/>
    <w:rsid w:val="0010244F"/>
    <w:pPr>
      <w:ind w:right="-99"/>
      <w:jc w:val="both"/>
    </w:pPr>
    <w:rPr>
      <w:rFonts w:ascii="Arial" w:hAnsi="Arial" w:cs="Arial"/>
      <w:szCs w:val="20"/>
      <w:lang w:eastAsia="en-US"/>
    </w:rPr>
  </w:style>
  <w:style w:type="character" w:customStyle="1" w:styleId="Char2">
    <w:name w:val="Σώμα κειμένου Char"/>
    <w:basedOn w:val="a0"/>
    <w:link w:val="ad"/>
    <w:rsid w:val="0010244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741">
      <w:bodyDiv w:val="1"/>
      <w:marLeft w:val="0"/>
      <w:marRight w:val="0"/>
      <w:marTop w:val="0"/>
      <w:marBottom w:val="0"/>
      <w:divBdr>
        <w:top w:val="none" w:sz="0" w:space="0" w:color="auto"/>
        <w:left w:val="none" w:sz="0" w:space="0" w:color="auto"/>
        <w:bottom w:val="none" w:sz="0" w:space="0" w:color="auto"/>
        <w:right w:val="none" w:sz="0" w:space="0" w:color="auto"/>
      </w:divBdr>
    </w:div>
    <w:div w:id="491146185">
      <w:bodyDiv w:val="1"/>
      <w:marLeft w:val="0"/>
      <w:marRight w:val="0"/>
      <w:marTop w:val="0"/>
      <w:marBottom w:val="0"/>
      <w:divBdr>
        <w:top w:val="none" w:sz="0" w:space="0" w:color="auto"/>
        <w:left w:val="none" w:sz="0" w:space="0" w:color="auto"/>
        <w:bottom w:val="none" w:sz="0" w:space="0" w:color="auto"/>
        <w:right w:val="none" w:sz="0" w:space="0" w:color="auto"/>
      </w:divBdr>
    </w:div>
    <w:div w:id="552887464">
      <w:bodyDiv w:val="1"/>
      <w:marLeft w:val="0"/>
      <w:marRight w:val="0"/>
      <w:marTop w:val="0"/>
      <w:marBottom w:val="0"/>
      <w:divBdr>
        <w:top w:val="none" w:sz="0" w:space="0" w:color="auto"/>
        <w:left w:val="none" w:sz="0" w:space="0" w:color="auto"/>
        <w:bottom w:val="none" w:sz="0" w:space="0" w:color="auto"/>
        <w:right w:val="none" w:sz="0" w:space="0" w:color="auto"/>
      </w:divBdr>
    </w:div>
    <w:div w:id="786506946">
      <w:bodyDiv w:val="1"/>
      <w:marLeft w:val="0"/>
      <w:marRight w:val="0"/>
      <w:marTop w:val="0"/>
      <w:marBottom w:val="0"/>
      <w:divBdr>
        <w:top w:val="none" w:sz="0" w:space="0" w:color="auto"/>
        <w:left w:val="none" w:sz="0" w:space="0" w:color="auto"/>
        <w:bottom w:val="none" w:sz="0" w:space="0" w:color="auto"/>
        <w:right w:val="none" w:sz="0" w:space="0" w:color="auto"/>
      </w:divBdr>
      <w:divsChild>
        <w:div w:id="212205809">
          <w:marLeft w:val="0"/>
          <w:marRight w:val="0"/>
          <w:marTop w:val="0"/>
          <w:marBottom w:val="0"/>
          <w:divBdr>
            <w:top w:val="none" w:sz="0" w:space="0" w:color="auto"/>
            <w:left w:val="none" w:sz="0" w:space="0" w:color="auto"/>
            <w:bottom w:val="none" w:sz="0" w:space="0" w:color="auto"/>
            <w:right w:val="none" w:sz="0" w:space="0" w:color="auto"/>
          </w:divBdr>
        </w:div>
      </w:divsChild>
    </w:div>
    <w:div w:id="1248271683">
      <w:bodyDiv w:val="1"/>
      <w:marLeft w:val="0"/>
      <w:marRight w:val="0"/>
      <w:marTop w:val="0"/>
      <w:marBottom w:val="0"/>
      <w:divBdr>
        <w:top w:val="none" w:sz="0" w:space="0" w:color="auto"/>
        <w:left w:val="none" w:sz="0" w:space="0" w:color="auto"/>
        <w:bottom w:val="none" w:sz="0" w:space="0" w:color="auto"/>
        <w:right w:val="none" w:sz="0" w:space="0" w:color="auto"/>
      </w:divBdr>
    </w:div>
    <w:div w:id="1292906010">
      <w:bodyDiv w:val="1"/>
      <w:marLeft w:val="0"/>
      <w:marRight w:val="0"/>
      <w:marTop w:val="0"/>
      <w:marBottom w:val="0"/>
      <w:divBdr>
        <w:top w:val="none" w:sz="0" w:space="0" w:color="auto"/>
        <w:left w:val="none" w:sz="0" w:space="0" w:color="auto"/>
        <w:bottom w:val="none" w:sz="0" w:space="0" w:color="auto"/>
        <w:right w:val="none" w:sz="0" w:space="0" w:color="auto"/>
      </w:divBdr>
    </w:div>
    <w:div w:id="1326586675">
      <w:bodyDiv w:val="1"/>
      <w:marLeft w:val="0"/>
      <w:marRight w:val="0"/>
      <w:marTop w:val="0"/>
      <w:marBottom w:val="0"/>
      <w:divBdr>
        <w:top w:val="none" w:sz="0" w:space="0" w:color="auto"/>
        <w:left w:val="none" w:sz="0" w:space="0" w:color="auto"/>
        <w:bottom w:val="none" w:sz="0" w:space="0" w:color="auto"/>
        <w:right w:val="none" w:sz="0" w:space="0" w:color="auto"/>
      </w:divBdr>
    </w:div>
    <w:div w:id="1426267979">
      <w:bodyDiv w:val="1"/>
      <w:marLeft w:val="0"/>
      <w:marRight w:val="0"/>
      <w:marTop w:val="0"/>
      <w:marBottom w:val="0"/>
      <w:divBdr>
        <w:top w:val="none" w:sz="0" w:space="0" w:color="auto"/>
        <w:left w:val="none" w:sz="0" w:space="0" w:color="auto"/>
        <w:bottom w:val="none" w:sz="0" w:space="0" w:color="auto"/>
        <w:right w:val="none" w:sz="0" w:space="0" w:color="auto"/>
      </w:divBdr>
    </w:div>
    <w:div w:id="1542667442">
      <w:bodyDiv w:val="1"/>
      <w:marLeft w:val="0"/>
      <w:marRight w:val="0"/>
      <w:marTop w:val="0"/>
      <w:marBottom w:val="0"/>
      <w:divBdr>
        <w:top w:val="none" w:sz="0" w:space="0" w:color="auto"/>
        <w:left w:val="none" w:sz="0" w:space="0" w:color="auto"/>
        <w:bottom w:val="none" w:sz="0" w:space="0" w:color="auto"/>
        <w:right w:val="none" w:sz="0" w:space="0" w:color="auto"/>
      </w:divBdr>
    </w:div>
    <w:div w:id="1746300941">
      <w:bodyDiv w:val="1"/>
      <w:marLeft w:val="0"/>
      <w:marRight w:val="0"/>
      <w:marTop w:val="0"/>
      <w:marBottom w:val="0"/>
      <w:divBdr>
        <w:top w:val="none" w:sz="0" w:space="0" w:color="auto"/>
        <w:left w:val="none" w:sz="0" w:space="0" w:color="auto"/>
        <w:bottom w:val="none" w:sz="0" w:space="0" w:color="auto"/>
        <w:right w:val="none" w:sz="0" w:space="0" w:color="auto"/>
      </w:divBdr>
    </w:div>
    <w:div w:id="1782727913">
      <w:bodyDiv w:val="1"/>
      <w:marLeft w:val="0"/>
      <w:marRight w:val="0"/>
      <w:marTop w:val="0"/>
      <w:marBottom w:val="0"/>
      <w:divBdr>
        <w:top w:val="none" w:sz="0" w:space="0" w:color="auto"/>
        <w:left w:val="none" w:sz="0" w:space="0" w:color="auto"/>
        <w:bottom w:val="none" w:sz="0" w:space="0" w:color="auto"/>
        <w:right w:val="none" w:sz="0" w:space="0" w:color="auto"/>
      </w:divBdr>
    </w:div>
    <w:div w:id="1920478774">
      <w:bodyDiv w:val="1"/>
      <w:marLeft w:val="0"/>
      <w:marRight w:val="0"/>
      <w:marTop w:val="0"/>
      <w:marBottom w:val="0"/>
      <w:divBdr>
        <w:top w:val="none" w:sz="0" w:space="0" w:color="auto"/>
        <w:left w:val="none" w:sz="0" w:space="0" w:color="auto"/>
        <w:bottom w:val="none" w:sz="0" w:space="0" w:color="auto"/>
        <w:right w:val="none" w:sz="0" w:space="0" w:color="auto"/>
      </w:divBdr>
    </w:div>
    <w:div w:id="1941252575">
      <w:bodyDiv w:val="1"/>
      <w:marLeft w:val="0"/>
      <w:marRight w:val="0"/>
      <w:marTop w:val="0"/>
      <w:marBottom w:val="0"/>
      <w:divBdr>
        <w:top w:val="none" w:sz="0" w:space="0" w:color="auto"/>
        <w:left w:val="none" w:sz="0" w:space="0" w:color="auto"/>
        <w:bottom w:val="none" w:sz="0" w:space="0" w:color="auto"/>
        <w:right w:val="none" w:sz="0" w:space="0" w:color="auto"/>
      </w:divBdr>
    </w:div>
    <w:div w:id="2122139594">
      <w:bodyDiv w:val="1"/>
      <w:marLeft w:val="0"/>
      <w:marRight w:val="0"/>
      <w:marTop w:val="0"/>
      <w:marBottom w:val="0"/>
      <w:divBdr>
        <w:top w:val="none" w:sz="0" w:space="0" w:color="auto"/>
        <w:left w:val="none" w:sz="0" w:space="0" w:color="auto"/>
        <w:bottom w:val="none" w:sz="0" w:space="0" w:color="auto"/>
        <w:right w:val="none" w:sz="0" w:space="0" w:color="auto"/>
      </w:divBdr>
    </w:div>
    <w:div w:id="2137024177">
      <w:bodyDiv w:val="1"/>
      <w:marLeft w:val="0"/>
      <w:marRight w:val="0"/>
      <w:marTop w:val="0"/>
      <w:marBottom w:val="0"/>
      <w:divBdr>
        <w:top w:val="none" w:sz="0" w:space="0" w:color="auto"/>
        <w:left w:val="none" w:sz="0" w:space="0" w:color="auto"/>
        <w:bottom w:val="none" w:sz="0" w:space="0" w:color="auto"/>
        <w:right w:val="none" w:sz="0" w:space="0" w:color="auto"/>
      </w:divBdr>
      <w:divsChild>
        <w:div w:id="693532904">
          <w:marLeft w:val="0"/>
          <w:marRight w:val="0"/>
          <w:marTop w:val="0"/>
          <w:marBottom w:val="0"/>
          <w:divBdr>
            <w:top w:val="none" w:sz="0" w:space="0" w:color="auto"/>
            <w:left w:val="none" w:sz="0" w:space="0" w:color="auto"/>
            <w:bottom w:val="none" w:sz="0" w:space="0" w:color="auto"/>
            <w:right w:val="none" w:sz="0" w:space="0" w:color="auto"/>
          </w:divBdr>
        </w:div>
      </w:divsChild>
    </w:div>
    <w:div w:id="2137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9391-344C-4134-B3A3-91FC58AA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4898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Πεδίο ΥΠΟΒΛΗΘΕΝΤΑ ΣΤΟΙΧΕΙΑ</vt:lpstr>
      <vt:lpstr>Πεδίο ΥΠΟΒΛΗΘΕΝΤΑ ΣΤΟΙΧΕΙΑ</vt:lpstr>
    </vt:vector>
  </TitlesOfParts>
  <Company>nou sa</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Πεδίο ΥΠΟΒΛΗΘΕΝΤΑ ΣΤΟΙΧΕΙΑ</dc:title>
  <dc:creator>Anestopoulou</dc:creator>
  <cp:lastModifiedBy>Καραγιάννης, Κώστας</cp:lastModifiedBy>
  <cp:revision>5</cp:revision>
  <cp:lastPrinted>2015-09-11T13:21:00Z</cp:lastPrinted>
  <dcterms:created xsi:type="dcterms:W3CDTF">2016-11-09T08:29:00Z</dcterms:created>
  <dcterms:modified xsi:type="dcterms:W3CDTF">2017-05-05T10:52:00Z</dcterms:modified>
</cp:coreProperties>
</file>