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E0" w:rsidRDefault="001A58E0" w:rsidP="001A58E0">
      <w:pPr>
        <w:pStyle w:val="Default"/>
        <w:rPr>
          <w:b/>
          <w:bCs/>
          <w:i/>
          <w:iCs/>
          <w:sz w:val="22"/>
          <w:szCs w:val="22"/>
          <w:lang w:val="en-US"/>
        </w:rPr>
      </w:pPr>
    </w:p>
    <w:p w:rsidR="001A58E0" w:rsidRDefault="001A58E0" w:rsidP="001A58E0">
      <w:pPr>
        <w:pStyle w:val="Default"/>
      </w:pPr>
    </w:p>
    <w:p w:rsidR="001A58E0" w:rsidRDefault="001A58E0" w:rsidP="001A58E0">
      <w:pPr>
        <w:pStyle w:val="Default"/>
        <w:jc w:val="both"/>
        <w:rPr>
          <w:sz w:val="32"/>
          <w:szCs w:val="32"/>
        </w:rPr>
      </w:pPr>
      <w:r>
        <w:t xml:space="preserve"> </w:t>
      </w:r>
      <w:r>
        <w:rPr>
          <w:b/>
          <w:bCs/>
          <w:sz w:val="32"/>
          <w:szCs w:val="32"/>
        </w:rPr>
        <w:t xml:space="preserve">ΓΕΝΙΚΕΣ ΑΡΧΕΣ ΑΞΙΟΛΟΓΗΣΗΣ ΠΡΑΞΕΩΝ ΕΠΑΛΘ 2014-2020 </w:t>
      </w:r>
    </w:p>
    <w:p w:rsidR="001A58E0" w:rsidRDefault="001A58E0" w:rsidP="001A58E0">
      <w:pPr>
        <w:pStyle w:val="Default"/>
        <w:jc w:val="both"/>
        <w:rPr>
          <w:sz w:val="32"/>
          <w:szCs w:val="32"/>
        </w:rPr>
      </w:pPr>
      <w:r>
        <w:rPr>
          <w:b/>
          <w:bCs/>
          <w:sz w:val="32"/>
          <w:szCs w:val="32"/>
        </w:rPr>
        <w:t xml:space="preserve">ΚΡΙΤΗΡΙΑ ΕΠΙΛΟΓΗΣ </w:t>
      </w:r>
    </w:p>
    <w:p w:rsidR="001A58E0" w:rsidRPr="001A58E0" w:rsidRDefault="001A58E0" w:rsidP="001A58E0">
      <w:pPr>
        <w:pStyle w:val="Default"/>
        <w:jc w:val="both"/>
        <w:rPr>
          <w:sz w:val="32"/>
          <w:szCs w:val="32"/>
          <w:lang w:val="en-US"/>
        </w:rPr>
      </w:pPr>
    </w:p>
    <w:p w:rsidR="001A58E0" w:rsidRDefault="001A58E0" w:rsidP="001A58E0">
      <w:pPr>
        <w:pStyle w:val="Default"/>
        <w:jc w:val="both"/>
        <w:rPr>
          <w:b/>
          <w:bCs/>
          <w:sz w:val="28"/>
          <w:szCs w:val="28"/>
          <w:lang w:val="en-US"/>
        </w:rPr>
      </w:pPr>
      <w:r>
        <w:rPr>
          <w:b/>
          <w:bCs/>
          <w:sz w:val="28"/>
          <w:szCs w:val="28"/>
        </w:rPr>
        <w:t xml:space="preserve">ΔΙΑΔΙΚΑΣΙΑ ΑΞΙΟΛΟΓΗΣΗΣ - ΜΕΘΟΔΟΛΟΓΙΑ </w:t>
      </w:r>
    </w:p>
    <w:p w:rsidR="001A58E0" w:rsidRPr="001A58E0" w:rsidRDefault="001A58E0" w:rsidP="001A58E0">
      <w:pPr>
        <w:pStyle w:val="Default"/>
        <w:jc w:val="both"/>
        <w:rPr>
          <w:sz w:val="28"/>
          <w:szCs w:val="28"/>
          <w:lang w:val="en-US"/>
        </w:rPr>
      </w:pPr>
    </w:p>
    <w:p w:rsidR="001A58E0" w:rsidRDefault="001A58E0" w:rsidP="001A58E0">
      <w:pPr>
        <w:pStyle w:val="Default"/>
        <w:jc w:val="both"/>
        <w:rPr>
          <w:sz w:val="22"/>
          <w:szCs w:val="22"/>
        </w:rPr>
      </w:pPr>
      <w:r>
        <w:rPr>
          <w:sz w:val="22"/>
          <w:szCs w:val="22"/>
        </w:rPr>
        <w:t xml:space="preserve">Η μεθοδολογία αξιολόγησης Αιτήσεων Χρηματοδότησης Πράξεων συγχρηματοδοτούμενων από το Επιχειρησιακό Πρόγραμμα ΕΠΑΛΘ 2014-2020 βασίζεται στον «Οδηγό Αξιολόγησης Αιτήσεων Χρηματοδότησης Πράξεων» που συνέταξε η Ειδική Υπηρεσία Θεσμικής Υποστήριξης του Υπουργείου Οικονομίας, Ανάπτυξης &amp; Τουρισμού. </w:t>
      </w:r>
    </w:p>
    <w:p w:rsidR="001A58E0" w:rsidRDefault="001A58E0" w:rsidP="001A58E0">
      <w:pPr>
        <w:pStyle w:val="Default"/>
        <w:jc w:val="both"/>
        <w:rPr>
          <w:sz w:val="22"/>
          <w:szCs w:val="22"/>
        </w:rPr>
      </w:pPr>
      <w:r>
        <w:rPr>
          <w:sz w:val="22"/>
          <w:szCs w:val="22"/>
        </w:rPr>
        <w:t xml:space="preserve">Βασικό στάδιο των επιμέρους διαδικασιών επιλογής και έγκρισης πράξεων, είναι η αξιολόγηση των αιτήσεων χρηματοδότησης που υποβάλλουν οι δυνητικοί δικαιούχοι, κατόπιν πρόσκλησης που εκδίδει η Διαχειριστική Αρχή (ΔΑ) ή ο Ενδιάμεσος Φορέας Διαχείρισης (ΕΦ). Η μεθοδολογία αξιολόγησης καθώς και τα κριτήρια αξιολόγησης και επιλογής των αιτήσεων χρηματοδότησης συντάσσονται από την ΔΑ/ ΕΦ και εγκρίνονται από την Επιτροπή Παρακολούθησης. </w:t>
      </w:r>
    </w:p>
    <w:p w:rsidR="001A58E0" w:rsidRDefault="001A58E0" w:rsidP="001A58E0">
      <w:pPr>
        <w:pStyle w:val="Default"/>
        <w:jc w:val="both"/>
        <w:rPr>
          <w:sz w:val="22"/>
          <w:szCs w:val="22"/>
        </w:rPr>
      </w:pPr>
      <w:r>
        <w:rPr>
          <w:sz w:val="22"/>
          <w:szCs w:val="22"/>
        </w:rPr>
        <w:t xml:space="preserve">Η επιλογή της μεθοδολογίας αξιολόγησης, η προσαρμογή περαιτέρω (εξειδίκευση) των προτεινόμενων κριτηρίων αξιολόγησης καθώς και η βαρύτητα και η βαθμολόγηση αυτών, διαφοροποιείται, ανάλογα με τις δράσεις και τους ειδικότερους στόχους της πρόσκλησης. </w:t>
      </w:r>
    </w:p>
    <w:p w:rsidR="001A58E0" w:rsidRDefault="001A58E0" w:rsidP="001A58E0">
      <w:pPr>
        <w:pStyle w:val="Default"/>
        <w:jc w:val="both"/>
        <w:rPr>
          <w:sz w:val="22"/>
          <w:szCs w:val="22"/>
          <w:lang w:val="en-US"/>
        </w:rPr>
      </w:pPr>
      <w:r>
        <w:rPr>
          <w:sz w:val="22"/>
          <w:szCs w:val="22"/>
        </w:rPr>
        <w:t xml:space="preserve">Οι βασικές </w:t>
      </w:r>
      <w:r>
        <w:rPr>
          <w:b/>
          <w:bCs/>
          <w:sz w:val="22"/>
          <w:szCs w:val="22"/>
        </w:rPr>
        <w:t xml:space="preserve">μεθοδολογίες αξιολόγησης </w:t>
      </w:r>
      <w:r>
        <w:rPr>
          <w:sz w:val="22"/>
          <w:szCs w:val="22"/>
        </w:rPr>
        <w:t xml:space="preserve">είναι: </w:t>
      </w:r>
    </w:p>
    <w:p w:rsidR="001A58E0" w:rsidRPr="001A58E0" w:rsidRDefault="001A58E0" w:rsidP="001A58E0">
      <w:pPr>
        <w:pStyle w:val="Default"/>
        <w:jc w:val="both"/>
        <w:rPr>
          <w:sz w:val="22"/>
          <w:szCs w:val="22"/>
          <w:lang w:val="en-US"/>
        </w:rPr>
      </w:pPr>
    </w:p>
    <w:p w:rsidR="001A58E0" w:rsidRPr="001A58E0" w:rsidRDefault="001A58E0" w:rsidP="001A58E0">
      <w:pPr>
        <w:pStyle w:val="Default"/>
        <w:jc w:val="both"/>
        <w:rPr>
          <w:b/>
          <w:sz w:val="22"/>
          <w:szCs w:val="22"/>
          <w:u w:val="single"/>
        </w:rPr>
      </w:pPr>
      <w:r w:rsidRPr="001A58E0">
        <w:rPr>
          <w:b/>
          <w:sz w:val="22"/>
          <w:szCs w:val="22"/>
          <w:u w:val="single"/>
        </w:rPr>
        <w:t xml:space="preserve">(Α) Άμεση Αξιολόγηση </w:t>
      </w:r>
    </w:p>
    <w:p w:rsidR="001A58E0" w:rsidRDefault="001A58E0" w:rsidP="001A58E0">
      <w:pPr>
        <w:pStyle w:val="Default"/>
        <w:jc w:val="both"/>
        <w:rPr>
          <w:sz w:val="22"/>
          <w:szCs w:val="22"/>
          <w:lang w:val="en-US"/>
        </w:rPr>
      </w:pPr>
      <w:r>
        <w:rPr>
          <w:sz w:val="22"/>
          <w:szCs w:val="22"/>
        </w:rPr>
        <w:t xml:space="preserve">Εφόσον επιλεγεί η άμεση αξιολόγηση, στην Πρόσκληση ορίζεται η αρχική καθώς και η καταληκτική ημερομηνία υποβολής των αιτήσεων χρηματοδότησης των δυνητικών δικαιούχων. Κάθε αίτηση που υποβάλλεται αξιολογείται άμεσα χωρίς να απαιτείται να παρέλθει η προθεσμία υποβολής. Εφόσον η αίτηση ικανοποιεί τα κριτήρια που ορίζονται στην Πρόσκληση προωθείται για ένταξη στο ΕΠ. Η αξιολόγηση των υποβαλλομένων αιτήσεων συνεχίζεται, με τη σειρά της ημερομηνίας του πρωτοκόλλου υποβολής, μέχρι να εξαντληθεί ο διαθέσιμος προϋπολογισμός της Πρόσκλησης ή αξιολογηθεί ο συνολικός αριθμός των αιτήσεων. Στην περίπτωση εξάντλησης του διαθέσιμου προϋπολογισμού, η ΔΑ/ ΕΦ ενημερώνει τους δυνητικούς δικαιούχους μέσω της οικείας ιστοσελίδας του ΕΠ ή και του ΕΦ. </w:t>
      </w:r>
    </w:p>
    <w:p w:rsidR="001A58E0" w:rsidRPr="001A58E0" w:rsidRDefault="001A58E0" w:rsidP="001A58E0">
      <w:pPr>
        <w:pStyle w:val="Default"/>
        <w:jc w:val="both"/>
        <w:rPr>
          <w:sz w:val="22"/>
          <w:szCs w:val="22"/>
          <w:lang w:val="en-US"/>
        </w:rPr>
      </w:pPr>
    </w:p>
    <w:p w:rsidR="001A58E0" w:rsidRPr="001A58E0" w:rsidRDefault="001A58E0" w:rsidP="001A58E0">
      <w:pPr>
        <w:pStyle w:val="Default"/>
        <w:jc w:val="both"/>
        <w:rPr>
          <w:b/>
          <w:sz w:val="22"/>
          <w:szCs w:val="22"/>
          <w:u w:val="single"/>
        </w:rPr>
      </w:pPr>
      <w:r w:rsidRPr="001A58E0">
        <w:rPr>
          <w:b/>
          <w:sz w:val="22"/>
          <w:szCs w:val="22"/>
          <w:u w:val="single"/>
        </w:rPr>
        <w:t xml:space="preserve">(Β) Συγκριτική Αξιολόγηση </w:t>
      </w:r>
    </w:p>
    <w:p w:rsidR="001A58E0" w:rsidRDefault="001A58E0" w:rsidP="001A58E0">
      <w:pPr>
        <w:pStyle w:val="Default"/>
        <w:jc w:val="both"/>
        <w:rPr>
          <w:sz w:val="22"/>
          <w:szCs w:val="22"/>
          <w:lang w:val="en-US"/>
        </w:rPr>
      </w:pPr>
      <w:r>
        <w:rPr>
          <w:sz w:val="22"/>
          <w:szCs w:val="22"/>
        </w:rPr>
        <w:t xml:space="preserve">Στη συγκριτική αξιολόγηση ορίζεται στην Πρόσκληση η αρχική καθώς και η καταληκτική ημερομηνία μέχρι την οποία πρέπει να υποβληθούν οι αιτήσεις χρηματοδότησης των δυνητικών δικαιούχων, αλλά η αξιολόγηση όλων των προτάσεων πρέπει να ολοκληρωθεί μετά την καταληκτική ημερομηνία και τα αποτελέσματα να ανακοινωθούν ταυτόχρονα για όλες τις προτάσεις. Από τα κριτήρια τα οποία βαθμολογούνται προκύπτει η συνολική βαθμολογία της κάθε πρότασης, βάσει της οποίας θα καθοριστεί η σειρά κατάταξης των προτάσεων. Οι προτάσεις που επιλέγονται για χρηματοδότηση (μέχρι να εξαντληθεί ο διαθέσιμος προϋπολογισμός της Πρόσκλησης) είναι εκείνες με τις υψηλότερες βαθμολογίες, εφόσον ικανοποιούνται και ενδεχόμενες ελάχιστες προϋποθέσεις έγκρισης που προσδιορίζονται στην Πρόσκληση. </w:t>
      </w:r>
    </w:p>
    <w:p w:rsidR="001A58E0" w:rsidRPr="001A58E0" w:rsidRDefault="001A58E0" w:rsidP="001A58E0">
      <w:pPr>
        <w:pStyle w:val="Default"/>
        <w:jc w:val="both"/>
        <w:rPr>
          <w:sz w:val="22"/>
          <w:szCs w:val="22"/>
          <w:lang w:val="en-US"/>
        </w:rPr>
      </w:pPr>
    </w:p>
    <w:p w:rsidR="001A58E0" w:rsidRPr="001A58E0" w:rsidRDefault="001A58E0" w:rsidP="001A58E0">
      <w:pPr>
        <w:pStyle w:val="Default"/>
        <w:jc w:val="both"/>
        <w:rPr>
          <w:sz w:val="22"/>
          <w:szCs w:val="22"/>
        </w:rPr>
      </w:pPr>
      <w:r>
        <w:rPr>
          <w:sz w:val="22"/>
          <w:szCs w:val="22"/>
        </w:rPr>
        <w:t xml:space="preserve">Για τη λήψη της απόφασης σχετικά με τη μεθοδολογία αξιολόγησης που θα επιλεγεί, συνεκτιμώνται τα πλεονεκτήματα και τα μειονεκτήματα της κάθε μεθόδου. </w:t>
      </w:r>
    </w:p>
    <w:p w:rsidR="001A58E0" w:rsidRDefault="001A58E0" w:rsidP="001A58E0">
      <w:pPr>
        <w:pStyle w:val="Default"/>
        <w:jc w:val="both"/>
        <w:rPr>
          <w:rFonts w:cstheme="minorBidi"/>
          <w:color w:val="auto"/>
        </w:rPr>
      </w:pPr>
    </w:p>
    <w:p w:rsidR="001A58E0" w:rsidRDefault="001A58E0" w:rsidP="001A58E0">
      <w:pPr>
        <w:pStyle w:val="Default"/>
        <w:pageBreakBefore/>
        <w:jc w:val="both"/>
        <w:rPr>
          <w:color w:val="auto"/>
          <w:sz w:val="22"/>
          <w:szCs w:val="22"/>
        </w:rPr>
      </w:pPr>
      <w:r>
        <w:rPr>
          <w:color w:val="auto"/>
          <w:sz w:val="22"/>
          <w:szCs w:val="22"/>
        </w:rPr>
        <w:lastRenderedPageBreak/>
        <w:t xml:space="preserve">Κατά κανόνα η άμεση αξιολόγηση είναι ταχύτερη κατά τη διεκπεραίωση των διαδικασιών της, και επιτρέπει στους δυνητικούς δικαιούχους που διαθέτουν ετοιμότητα υποβολής προτάσεων (και πληρούν τις ελάχιστες προϋποθέσεις της Πρόσκλησης) να χρηματοδοτηθούν χωρίς σημαντικές καθυστερήσεις, αφού κάθε πρόταση αξιολογείται μόλις υποβληθεί. Όμως, δεν επιτρέπει σύγκριση και ιεράρχηση μεταξύ των προτάσεων προκειμένου να επιλεγούν αυτές οι οποίες συνεισφέρουν περισσότερο στα επιδιωκόμενα αποτελέσματα της πρόσκλησης. </w:t>
      </w:r>
    </w:p>
    <w:p w:rsidR="001A58E0" w:rsidRDefault="001A58E0" w:rsidP="001A58E0">
      <w:pPr>
        <w:pStyle w:val="Default"/>
        <w:jc w:val="both"/>
        <w:rPr>
          <w:color w:val="auto"/>
          <w:sz w:val="22"/>
          <w:szCs w:val="22"/>
        </w:rPr>
      </w:pPr>
      <w:r>
        <w:rPr>
          <w:color w:val="auto"/>
          <w:sz w:val="22"/>
          <w:szCs w:val="22"/>
        </w:rPr>
        <w:t xml:space="preserve">Αντιθέτως, κατά κανόνα η συγκριτική αξιολόγηση είναι περισσότερο χρονοβόρα και σύνθετη διαδικασία, απαιτεί μεγαλύτερη επεξεργασία για την εξειδίκευσή της στις ιδιαίτερες απαιτήσεις της κάθε Πρόσκλησης αλλά πλεονεκτεί σημαντικά στην τεκμηρίωση της επιλογής των πλέον κατάλληλων πράξεων, αφού κάθε πρόταση συνοδεύεται από αναλυτική κλιμακούμενη βαθμολόγηση των κριτηρίων, βάσει της οποίας επιλέγονται τελικά οι προτάσεις με τη μεγαλύτερη συνολική βαθμολογία. </w:t>
      </w:r>
    </w:p>
    <w:p w:rsidR="001A58E0" w:rsidRPr="001A58E0" w:rsidRDefault="001A58E0" w:rsidP="001A58E0">
      <w:pPr>
        <w:pStyle w:val="Default"/>
        <w:jc w:val="both"/>
        <w:rPr>
          <w:color w:val="auto"/>
          <w:sz w:val="22"/>
          <w:szCs w:val="22"/>
        </w:rPr>
      </w:pPr>
      <w:r>
        <w:rPr>
          <w:color w:val="auto"/>
          <w:sz w:val="22"/>
          <w:szCs w:val="22"/>
        </w:rPr>
        <w:t xml:space="preserve">Για την επιλογή της καταλληλότερης μεθοδολογίας αξιολόγησης συνεκτιμώνται οι ακόλουθες παράμετροι: </w:t>
      </w:r>
    </w:p>
    <w:p w:rsidR="001A58E0" w:rsidRPr="001A58E0" w:rsidRDefault="001A58E0" w:rsidP="001A58E0">
      <w:pPr>
        <w:pStyle w:val="Default"/>
        <w:numPr>
          <w:ilvl w:val="0"/>
          <w:numId w:val="12"/>
        </w:numPr>
        <w:jc w:val="both"/>
        <w:rPr>
          <w:color w:val="auto"/>
          <w:sz w:val="22"/>
          <w:szCs w:val="22"/>
        </w:rPr>
      </w:pPr>
      <w:r>
        <w:rPr>
          <w:color w:val="auto"/>
          <w:sz w:val="22"/>
          <w:szCs w:val="22"/>
        </w:rPr>
        <w:t>το πλήθος και οι αρμοδιότητες των δυνητικών δικαιούχων (Στην περίπτωση που η Πρόσκληση απευθύνεται σε συγκεκριμένο δυνητικό δικαιούχο, π.χ. λόγω θεσμικής αποκλειστικής αρμοδιότητας, είναι προφανές ότι θα επιλεγεί η άμεση αξιολόγηση).</w:t>
      </w:r>
    </w:p>
    <w:p w:rsidR="001A58E0" w:rsidRPr="001A58E0" w:rsidRDefault="001A58E0" w:rsidP="001A58E0">
      <w:pPr>
        <w:pStyle w:val="Default"/>
        <w:numPr>
          <w:ilvl w:val="0"/>
          <w:numId w:val="12"/>
        </w:numPr>
        <w:jc w:val="both"/>
        <w:rPr>
          <w:color w:val="auto"/>
          <w:sz w:val="22"/>
          <w:szCs w:val="22"/>
        </w:rPr>
      </w:pPr>
      <w:r>
        <w:rPr>
          <w:color w:val="auto"/>
          <w:sz w:val="22"/>
          <w:szCs w:val="22"/>
        </w:rPr>
        <w:t xml:space="preserve"> </w:t>
      </w:r>
      <w:r w:rsidRPr="001A58E0">
        <w:rPr>
          <w:color w:val="auto"/>
          <w:sz w:val="22"/>
          <w:szCs w:val="22"/>
        </w:rPr>
        <w:t>η κατηγορία της πράξης (Σε ορισμένες κατηγορίες πράξεων, όπως ερευνητικά προγράμματα, η συγκριτική αξιολόγηση πλεονεκτεί έναντι της άμεσης. Στην περίπτωση όμως που η Πρόσκληση αφορά διακριτές πράξεις συμπληρωματικές μεταξύ τους η άμεση αξιολόγηση είναι πιθανώς πιο αποτελεσματική. Επίσης, η άμεση αξιολόγηση είναι προσφορότερη για πράξεις, η υλοποίηση των οποίων είναι επιβεβλημένη από ανελαστικές υποχρεώσεις της χώρας σε επίπεδο ΕΕ, και περιγράφονται με σαφήνεια στην Πρόσκληση).</w:t>
      </w:r>
    </w:p>
    <w:p w:rsidR="001A58E0" w:rsidRPr="001A58E0" w:rsidRDefault="001A58E0" w:rsidP="001A58E0">
      <w:pPr>
        <w:pStyle w:val="Default"/>
        <w:numPr>
          <w:ilvl w:val="0"/>
          <w:numId w:val="12"/>
        </w:numPr>
        <w:jc w:val="both"/>
        <w:rPr>
          <w:color w:val="auto"/>
          <w:sz w:val="22"/>
          <w:szCs w:val="22"/>
        </w:rPr>
      </w:pPr>
      <w:r w:rsidRPr="001A58E0">
        <w:rPr>
          <w:color w:val="auto"/>
          <w:sz w:val="22"/>
          <w:szCs w:val="22"/>
        </w:rPr>
        <w:t xml:space="preserve"> το ύψος του διαθέσιμου προϋπολογισμού (Εφόσον οι πόροι που θα διατεθούν μέσω της Πρόσκλησης εκτιμάται ότι επαρκούν για τη χρηματοδότηση των προτάσεων που τελικά θα υποβληθούν η άμεση αξιολόγηση πλεονεκτεί</w:t>
      </w:r>
      <w:r>
        <w:rPr>
          <w:color w:val="auto"/>
          <w:sz w:val="22"/>
          <w:szCs w:val="22"/>
        </w:rPr>
        <w:t>).</w:t>
      </w:r>
    </w:p>
    <w:p w:rsidR="001A58E0" w:rsidRPr="001A58E0" w:rsidRDefault="001A58E0" w:rsidP="001A58E0">
      <w:pPr>
        <w:pStyle w:val="Default"/>
        <w:numPr>
          <w:ilvl w:val="0"/>
          <w:numId w:val="12"/>
        </w:numPr>
        <w:jc w:val="both"/>
        <w:rPr>
          <w:color w:val="auto"/>
          <w:sz w:val="22"/>
          <w:szCs w:val="22"/>
        </w:rPr>
      </w:pPr>
      <w:r w:rsidRPr="001A58E0">
        <w:rPr>
          <w:color w:val="auto"/>
          <w:sz w:val="22"/>
          <w:szCs w:val="22"/>
        </w:rPr>
        <w:t xml:space="preserve">αν είναι έργο </w:t>
      </w:r>
      <w:proofErr w:type="spellStart"/>
      <w:r w:rsidRPr="001A58E0">
        <w:rPr>
          <w:color w:val="auto"/>
          <w:sz w:val="22"/>
          <w:szCs w:val="22"/>
        </w:rPr>
        <w:t>τμηματοποιημένο</w:t>
      </w:r>
      <w:proofErr w:type="spellEnd"/>
      <w:r w:rsidRPr="001A58E0">
        <w:rPr>
          <w:color w:val="auto"/>
          <w:sz w:val="22"/>
          <w:szCs w:val="22"/>
        </w:rPr>
        <w:t xml:space="preserve"> (Για τα έργα αυτά επιλέγεται αποκλειστικά η άμεση αξιολόγηση</w:t>
      </w:r>
      <w:r>
        <w:rPr>
          <w:color w:val="auto"/>
          <w:sz w:val="22"/>
          <w:szCs w:val="22"/>
        </w:rPr>
        <w:t>).</w:t>
      </w:r>
    </w:p>
    <w:p w:rsidR="001A58E0" w:rsidRPr="001A58E0" w:rsidRDefault="001A58E0" w:rsidP="001A58E0">
      <w:pPr>
        <w:pStyle w:val="Default"/>
        <w:numPr>
          <w:ilvl w:val="0"/>
          <w:numId w:val="12"/>
        </w:numPr>
        <w:jc w:val="both"/>
        <w:rPr>
          <w:color w:val="auto"/>
          <w:sz w:val="22"/>
          <w:szCs w:val="22"/>
        </w:rPr>
      </w:pPr>
      <w:r w:rsidRPr="001A58E0">
        <w:rPr>
          <w:color w:val="auto"/>
          <w:sz w:val="22"/>
          <w:szCs w:val="22"/>
        </w:rPr>
        <w:t xml:space="preserve">αν η πρόσκληση αφορά πράξεις για την υλοποίηση των οποίων απαιτούνται προπαρασκευαστικές ενέργειες (Για τις πράξεις αυτές, είναι σκόπιμη η επιλογή της συγκριτικής αξιολόγησης). </w:t>
      </w:r>
    </w:p>
    <w:p w:rsidR="001A58E0" w:rsidRDefault="001A58E0" w:rsidP="001A58E0">
      <w:pPr>
        <w:pStyle w:val="Default"/>
        <w:jc w:val="both"/>
        <w:rPr>
          <w:color w:val="auto"/>
          <w:sz w:val="22"/>
          <w:szCs w:val="22"/>
        </w:rPr>
      </w:pPr>
    </w:p>
    <w:p w:rsidR="001A58E0" w:rsidRDefault="001A58E0" w:rsidP="001A58E0">
      <w:pPr>
        <w:pStyle w:val="Default"/>
        <w:jc w:val="both"/>
        <w:rPr>
          <w:color w:val="auto"/>
          <w:sz w:val="22"/>
          <w:szCs w:val="22"/>
        </w:rPr>
      </w:pPr>
      <w:r>
        <w:rPr>
          <w:color w:val="auto"/>
          <w:sz w:val="22"/>
          <w:szCs w:val="22"/>
        </w:rPr>
        <w:t xml:space="preserve">Η </w:t>
      </w:r>
      <w:r>
        <w:rPr>
          <w:b/>
          <w:bCs/>
          <w:color w:val="auto"/>
          <w:sz w:val="22"/>
          <w:szCs w:val="22"/>
        </w:rPr>
        <w:t xml:space="preserve">διαδικασία αξιολόγησης </w:t>
      </w:r>
      <w:r>
        <w:rPr>
          <w:color w:val="auto"/>
          <w:sz w:val="22"/>
          <w:szCs w:val="22"/>
        </w:rPr>
        <w:t xml:space="preserve">των προς χρηματοδότηση πράξεων διενεργείται σε δύο στάδια: </w:t>
      </w:r>
    </w:p>
    <w:p w:rsidR="001A58E0" w:rsidRPr="001A58E0" w:rsidRDefault="001A58E0" w:rsidP="001A58E0">
      <w:pPr>
        <w:pStyle w:val="Default"/>
        <w:numPr>
          <w:ilvl w:val="0"/>
          <w:numId w:val="13"/>
        </w:numPr>
        <w:spacing w:after="169"/>
        <w:jc w:val="both"/>
        <w:rPr>
          <w:color w:val="auto"/>
          <w:sz w:val="22"/>
          <w:szCs w:val="22"/>
        </w:rPr>
      </w:pPr>
      <w:r>
        <w:rPr>
          <w:color w:val="auto"/>
          <w:sz w:val="22"/>
          <w:szCs w:val="22"/>
        </w:rPr>
        <w:t xml:space="preserve">ΣΤΑΔΙΟ Α΄: Έλεγχος πληρότητας και </w:t>
      </w:r>
      <w:proofErr w:type="spellStart"/>
      <w:r>
        <w:rPr>
          <w:color w:val="auto"/>
          <w:sz w:val="22"/>
          <w:szCs w:val="22"/>
        </w:rPr>
        <w:t>επιλεξιμότητας</w:t>
      </w:r>
      <w:proofErr w:type="spellEnd"/>
      <w:r>
        <w:rPr>
          <w:color w:val="auto"/>
          <w:sz w:val="22"/>
          <w:szCs w:val="22"/>
        </w:rPr>
        <w:t xml:space="preserve"> πρότασης</w:t>
      </w:r>
    </w:p>
    <w:p w:rsidR="001A58E0" w:rsidRPr="001A58E0" w:rsidRDefault="001A58E0" w:rsidP="001A58E0">
      <w:pPr>
        <w:pStyle w:val="Default"/>
        <w:numPr>
          <w:ilvl w:val="0"/>
          <w:numId w:val="13"/>
        </w:numPr>
        <w:spacing w:after="169"/>
        <w:jc w:val="both"/>
        <w:rPr>
          <w:color w:val="auto"/>
          <w:sz w:val="22"/>
          <w:szCs w:val="22"/>
        </w:rPr>
      </w:pPr>
      <w:r>
        <w:rPr>
          <w:color w:val="auto"/>
          <w:sz w:val="22"/>
          <w:szCs w:val="22"/>
        </w:rPr>
        <w:t xml:space="preserve"> </w:t>
      </w:r>
      <w:r w:rsidRPr="001A58E0">
        <w:rPr>
          <w:color w:val="auto"/>
          <w:sz w:val="22"/>
          <w:szCs w:val="22"/>
        </w:rPr>
        <w:t xml:space="preserve">ΣΤΑΔΙΟ Β΄: Αξιολόγηση των προτάσεων ανά κριτήριο / ομάδα κριτηρίων </w:t>
      </w:r>
    </w:p>
    <w:p w:rsidR="001A58E0" w:rsidRDefault="001A58E0" w:rsidP="001A58E0">
      <w:pPr>
        <w:pStyle w:val="Default"/>
        <w:jc w:val="both"/>
        <w:rPr>
          <w:color w:val="auto"/>
          <w:sz w:val="22"/>
          <w:szCs w:val="22"/>
        </w:rPr>
      </w:pPr>
    </w:p>
    <w:p w:rsidR="001A58E0" w:rsidRDefault="001A58E0" w:rsidP="001A58E0">
      <w:pPr>
        <w:pStyle w:val="Default"/>
        <w:jc w:val="both"/>
        <w:rPr>
          <w:color w:val="auto"/>
          <w:sz w:val="22"/>
          <w:szCs w:val="22"/>
        </w:rPr>
      </w:pPr>
      <w:r>
        <w:rPr>
          <w:color w:val="auto"/>
          <w:sz w:val="22"/>
          <w:szCs w:val="22"/>
        </w:rPr>
        <w:t xml:space="preserve">Η αξιολόγηση πραγματοποιείται από τα αρμόδια στελέχη της ΔΑ/ ΕΦ ή και εξωτερικούς αξιολογητές, με απόφαση της ΔΑ/ΕΦ, για τους οποίους διασφαλίζεται, σε κάθε περίπτωση, ότι δεν υφίσταται σύγκρουση συμφερόντων και ότι διαθέτουν την απαιτούμενη εμπειρία και τεχνογνωσία για τη διενέργεια της αξιολόγησης. </w:t>
      </w:r>
    </w:p>
    <w:p w:rsidR="001A58E0" w:rsidRPr="001A58E0" w:rsidRDefault="001A58E0" w:rsidP="001A58E0">
      <w:pPr>
        <w:pStyle w:val="Default"/>
        <w:jc w:val="both"/>
        <w:rPr>
          <w:color w:val="auto"/>
          <w:sz w:val="22"/>
          <w:szCs w:val="22"/>
        </w:rPr>
      </w:pPr>
      <w:r>
        <w:rPr>
          <w:color w:val="auto"/>
          <w:sz w:val="22"/>
          <w:szCs w:val="22"/>
        </w:rPr>
        <w:t>Κατά τη διενέργεια της αξιολόγησης, η ΔΑ/ ο ΕΦ δύναται να ζητήσει σε οποιοδήποτε στάδιο της αξιολόγησης την υποβολή συμπληρωματικών στοιχείων και διευκρινήσεων. Συμπληρωματικά στοιχεία είναι αυτά τα οποία, ενώ προβλέπονταν στην πρόσκληση, δεν υποβλήθηκαν λόγω παράλειψης του δυνητικού δικαιούχου και εκδόθηκαν πριν την υποβολή της αίτησης. Οι διευκρινίσεις είναι στοιχεία που</w:t>
      </w:r>
      <w:r w:rsidRPr="001A58E0">
        <w:rPr>
          <w:color w:val="auto"/>
          <w:sz w:val="22"/>
          <w:szCs w:val="22"/>
        </w:rPr>
        <w:t xml:space="preserve"> ζητούνται από τον/τους αξιολογητή/τες με σκοπό την αποσαφήνιση των υποβληθέντων στοιχείων και την καλύτερη κατανόηση του περιεχομένου της πρότασης. </w:t>
      </w:r>
    </w:p>
    <w:p w:rsidR="001A58E0" w:rsidRPr="001A58E0" w:rsidRDefault="001A58E0" w:rsidP="001A58E0">
      <w:pPr>
        <w:pStyle w:val="Default"/>
        <w:jc w:val="both"/>
        <w:rPr>
          <w:color w:val="auto"/>
          <w:sz w:val="22"/>
          <w:szCs w:val="22"/>
        </w:rPr>
      </w:pPr>
    </w:p>
    <w:p w:rsidR="001A58E0" w:rsidRPr="001A58E0" w:rsidRDefault="001A58E0" w:rsidP="003F4A27">
      <w:pPr>
        <w:autoSpaceDE w:val="0"/>
        <w:autoSpaceDN w:val="0"/>
        <w:adjustRightInd w:val="0"/>
        <w:spacing w:after="0" w:line="240" w:lineRule="auto"/>
        <w:jc w:val="both"/>
        <w:rPr>
          <w:rFonts w:ascii="Calibri" w:hAnsi="Calibri" w:cs="Calibri"/>
          <w:color w:val="000000"/>
          <w:sz w:val="28"/>
          <w:szCs w:val="28"/>
        </w:rPr>
      </w:pPr>
      <w:r w:rsidRPr="001A58E0">
        <w:rPr>
          <w:rFonts w:ascii="Calibri" w:hAnsi="Calibri" w:cs="Calibri"/>
          <w:b/>
          <w:bCs/>
          <w:color w:val="000000"/>
          <w:sz w:val="28"/>
          <w:szCs w:val="28"/>
        </w:rPr>
        <w:lastRenderedPageBreak/>
        <w:t xml:space="preserve">ΚΡΙΤΗΡΙΑ ΕΠΙΛΟΓΗΣ ΠΡΑΞΕΩΝ </w:t>
      </w:r>
    </w:p>
    <w:p w:rsidR="001A58E0" w:rsidRPr="001A58E0" w:rsidRDefault="001A58E0" w:rsidP="003F4A27">
      <w:pPr>
        <w:autoSpaceDE w:val="0"/>
        <w:autoSpaceDN w:val="0"/>
        <w:adjustRightInd w:val="0"/>
        <w:spacing w:after="0" w:line="240" w:lineRule="auto"/>
        <w:jc w:val="both"/>
        <w:rPr>
          <w:rFonts w:ascii="Calibri" w:hAnsi="Calibri" w:cs="Calibri"/>
          <w:color w:val="000000"/>
        </w:rPr>
      </w:pPr>
      <w:r w:rsidRPr="001A58E0">
        <w:rPr>
          <w:rFonts w:ascii="Calibri" w:hAnsi="Calibri" w:cs="Calibri"/>
          <w:color w:val="000000"/>
        </w:rPr>
        <w:t xml:space="preserve">Στο κεφάλαιο αυτό περιγράφονται τα κριτήρια επιλογής, τα οποία βασίζονται στις αρχές κριτηρίων επιλογής οι οποίες περιγράφηκαν στα προηγούμενα κεφάλαια, και αναφέρονται σε συγκεκριμένα Μέτρα / Δράσεις του ΕΠΑΛΘ 2014-2020, καθώς και ο τρόπος βαθμολόγησής τους στην περίπτωση της συγκριτικής αξιολόγησης. </w:t>
      </w:r>
    </w:p>
    <w:p w:rsidR="003F4A27" w:rsidRDefault="003F4A27" w:rsidP="003F4A27">
      <w:pPr>
        <w:autoSpaceDE w:val="0"/>
        <w:autoSpaceDN w:val="0"/>
        <w:adjustRightInd w:val="0"/>
        <w:spacing w:after="0" w:line="240" w:lineRule="auto"/>
        <w:jc w:val="both"/>
        <w:rPr>
          <w:rFonts w:ascii="Calibri" w:hAnsi="Calibri" w:cs="Calibri"/>
          <w:b/>
          <w:bCs/>
          <w:color w:val="000000"/>
          <w:lang w:val="en-US"/>
        </w:rPr>
      </w:pPr>
    </w:p>
    <w:p w:rsidR="001A58E0" w:rsidRPr="001A58E0" w:rsidRDefault="001A58E0" w:rsidP="003F4A27">
      <w:pPr>
        <w:autoSpaceDE w:val="0"/>
        <w:autoSpaceDN w:val="0"/>
        <w:adjustRightInd w:val="0"/>
        <w:spacing w:after="0" w:line="240" w:lineRule="auto"/>
        <w:jc w:val="both"/>
        <w:rPr>
          <w:rFonts w:ascii="Calibri" w:hAnsi="Calibri" w:cs="Calibri"/>
          <w:color w:val="000000"/>
        </w:rPr>
      </w:pPr>
      <w:r w:rsidRPr="001A58E0">
        <w:rPr>
          <w:rFonts w:ascii="Calibri" w:hAnsi="Calibri" w:cs="Calibri"/>
          <w:b/>
          <w:bCs/>
          <w:color w:val="000000"/>
        </w:rPr>
        <w:t xml:space="preserve">4.1. ΚΡΙΤΗΡΙΑ ΕΠΙΛΟΓΗΣ ΠΡΑΞΕΩΝ ΔΗΜΟΣΙΩΝ ΕΡΓΩΝ </w:t>
      </w:r>
    </w:p>
    <w:p w:rsidR="001A58E0" w:rsidRPr="001A58E0" w:rsidRDefault="001A58E0" w:rsidP="003F4A27">
      <w:pPr>
        <w:autoSpaceDE w:val="0"/>
        <w:autoSpaceDN w:val="0"/>
        <w:adjustRightInd w:val="0"/>
        <w:spacing w:after="0" w:line="240" w:lineRule="auto"/>
        <w:jc w:val="both"/>
        <w:rPr>
          <w:rFonts w:ascii="Calibri" w:hAnsi="Calibri" w:cs="Calibri"/>
          <w:color w:val="000000"/>
        </w:rPr>
      </w:pPr>
      <w:r w:rsidRPr="001A58E0">
        <w:rPr>
          <w:rFonts w:ascii="Calibri" w:hAnsi="Calibri" w:cs="Calibri"/>
          <w:color w:val="000000"/>
        </w:rPr>
        <w:t xml:space="preserve">Τα μέτρα/ οι δράσεις που περιλαμβάνονται είναι τα ακόλουθα: </w:t>
      </w:r>
    </w:p>
    <w:p w:rsidR="001A58E0" w:rsidRPr="001A58E0" w:rsidRDefault="001A58E0" w:rsidP="003F4A27">
      <w:pPr>
        <w:autoSpaceDE w:val="0"/>
        <w:autoSpaceDN w:val="0"/>
        <w:adjustRightInd w:val="0"/>
        <w:spacing w:after="0" w:line="240" w:lineRule="auto"/>
        <w:jc w:val="both"/>
        <w:rPr>
          <w:rFonts w:ascii="Calibri" w:hAnsi="Calibri" w:cs="Calibri"/>
          <w:color w:val="000000"/>
        </w:rPr>
      </w:pPr>
      <w:r w:rsidRPr="001A58E0">
        <w:rPr>
          <w:rFonts w:ascii="Calibri" w:hAnsi="Calibri" w:cs="Calibri"/>
          <w:color w:val="000000"/>
        </w:rPr>
        <w:t xml:space="preserve"> </w:t>
      </w:r>
      <w:r w:rsidRPr="001A58E0">
        <w:rPr>
          <w:rFonts w:ascii="Calibri" w:hAnsi="Calibri" w:cs="Calibri"/>
          <w:i/>
          <w:iCs/>
          <w:color w:val="000000"/>
        </w:rPr>
        <w:t xml:space="preserve">Προστασία και αποκατάσταση της θαλάσσιας βιοποικιλότητας και των οικοσυστημάτων (άρθρο 40 και άρθρο 44, παράγραφος 6) </w:t>
      </w:r>
    </w:p>
    <w:p w:rsidR="001A58E0" w:rsidRPr="001A58E0" w:rsidRDefault="001A58E0" w:rsidP="003F4A27">
      <w:pPr>
        <w:autoSpaceDE w:val="0"/>
        <w:autoSpaceDN w:val="0"/>
        <w:adjustRightInd w:val="0"/>
        <w:spacing w:after="0" w:line="240" w:lineRule="auto"/>
        <w:jc w:val="both"/>
        <w:rPr>
          <w:rFonts w:ascii="Calibri" w:hAnsi="Calibri" w:cs="Calibri"/>
          <w:color w:val="000000"/>
        </w:rPr>
      </w:pPr>
    </w:p>
    <w:p w:rsidR="003F4A27" w:rsidRPr="003F4A27" w:rsidRDefault="001A58E0" w:rsidP="003F4A27">
      <w:pPr>
        <w:pStyle w:val="a3"/>
        <w:numPr>
          <w:ilvl w:val="0"/>
          <w:numId w:val="14"/>
        </w:numPr>
        <w:autoSpaceDE w:val="0"/>
        <w:autoSpaceDN w:val="0"/>
        <w:adjustRightInd w:val="0"/>
        <w:spacing w:after="0" w:line="240" w:lineRule="auto"/>
        <w:jc w:val="both"/>
        <w:rPr>
          <w:rFonts w:ascii="Calibri" w:hAnsi="Calibri" w:cs="Calibri"/>
          <w:color w:val="000000"/>
        </w:rPr>
      </w:pPr>
      <w:r w:rsidRPr="003F4A27">
        <w:rPr>
          <w:rFonts w:ascii="Calibri" w:hAnsi="Calibri" w:cs="Calibri"/>
          <w:i/>
          <w:iCs/>
          <w:color w:val="000000"/>
        </w:rPr>
        <w:t>Αλιευτικοί λιμένες, τόποι εκφόρτωσης και καταφύγια (άρθρο 43 και άρθρο 44, παράγραφος 1) στοιχείο στ)</w:t>
      </w:r>
    </w:p>
    <w:p w:rsidR="003F4A27" w:rsidRPr="003F4A27" w:rsidRDefault="001A58E0" w:rsidP="003F4A27">
      <w:pPr>
        <w:pStyle w:val="a3"/>
        <w:numPr>
          <w:ilvl w:val="0"/>
          <w:numId w:val="14"/>
        </w:numPr>
        <w:autoSpaceDE w:val="0"/>
        <w:autoSpaceDN w:val="0"/>
        <w:adjustRightInd w:val="0"/>
        <w:spacing w:after="0" w:line="240" w:lineRule="auto"/>
        <w:jc w:val="both"/>
        <w:rPr>
          <w:rFonts w:ascii="Calibri" w:hAnsi="Calibri" w:cs="Calibri"/>
          <w:color w:val="000000"/>
        </w:rPr>
      </w:pPr>
      <w:r w:rsidRPr="003F4A27">
        <w:rPr>
          <w:rFonts w:ascii="Calibri" w:hAnsi="Calibri" w:cs="Calibri"/>
          <w:i/>
          <w:iCs/>
          <w:color w:val="000000"/>
        </w:rPr>
        <w:t>Αύξηση του δυναμικού των ζων</w:t>
      </w:r>
      <w:r w:rsidR="003F4A27">
        <w:rPr>
          <w:rFonts w:ascii="Calibri" w:hAnsi="Calibri" w:cs="Calibri"/>
          <w:i/>
          <w:iCs/>
          <w:color w:val="000000"/>
        </w:rPr>
        <w:t>ών υδατοκαλλιέργειας (άρθρο 51)</w:t>
      </w:r>
    </w:p>
    <w:p w:rsidR="003F4A27" w:rsidRPr="003F4A27" w:rsidRDefault="001A58E0" w:rsidP="003F4A27">
      <w:pPr>
        <w:pStyle w:val="a3"/>
        <w:numPr>
          <w:ilvl w:val="0"/>
          <w:numId w:val="14"/>
        </w:numPr>
        <w:autoSpaceDE w:val="0"/>
        <w:autoSpaceDN w:val="0"/>
        <w:adjustRightInd w:val="0"/>
        <w:spacing w:after="0" w:line="240" w:lineRule="auto"/>
        <w:jc w:val="both"/>
        <w:rPr>
          <w:rFonts w:ascii="Calibri" w:hAnsi="Calibri" w:cs="Calibri"/>
          <w:color w:val="000000"/>
        </w:rPr>
      </w:pPr>
      <w:r w:rsidRPr="003F4A27">
        <w:rPr>
          <w:rFonts w:ascii="Calibri" w:hAnsi="Calibri" w:cs="Calibri"/>
          <w:i/>
          <w:iCs/>
          <w:color w:val="000000"/>
        </w:rPr>
        <w:t>Έλεγχος και Επιβολή (άρθρ</w:t>
      </w:r>
      <w:r w:rsidR="003F4A27">
        <w:rPr>
          <w:rFonts w:ascii="Calibri" w:hAnsi="Calibri" w:cs="Calibri"/>
          <w:i/>
          <w:iCs/>
          <w:color w:val="000000"/>
        </w:rPr>
        <w:t>ο 76)</w:t>
      </w:r>
    </w:p>
    <w:p w:rsidR="003F4A27" w:rsidRPr="003F4A27" w:rsidRDefault="003F4A27" w:rsidP="003F4A27">
      <w:pPr>
        <w:pStyle w:val="a3"/>
        <w:numPr>
          <w:ilvl w:val="0"/>
          <w:numId w:val="14"/>
        </w:numPr>
        <w:autoSpaceDE w:val="0"/>
        <w:autoSpaceDN w:val="0"/>
        <w:adjustRightInd w:val="0"/>
        <w:spacing w:after="0" w:line="240" w:lineRule="auto"/>
        <w:jc w:val="both"/>
        <w:rPr>
          <w:rFonts w:ascii="Calibri" w:hAnsi="Calibri" w:cs="Calibri"/>
          <w:color w:val="000000"/>
        </w:rPr>
      </w:pPr>
      <w:r>
        <w:rPr>
          <w:rFonts w:ascii="Calibri" w:hAnsi="Calibri" w:cs="Calibri"/>
          <w:i/>
          <w:iCs/>
          <w:color w:val="000000"/>
        </w:rPr>
        <w:t>Συλλογή Δεδομένων (άρθρο 77)</w:t>
      </w:r>
    </w:p>
    <w:p w:rsidR="001A58E0" w:rsidRPr="003F4A27" w:rsidRDefault="003F4A27" w:rsidP="003F4A27">
      <w:pPr>
        <w:pStyle w:val="a3"/>
        <w:numPr>
          <w:ilvl w:val="0"/>
          <w:numId w:val="14"/>
        </w:numPr>
        <w:autoSpaceDE w:val="0"/>
        <w:autoSpaceDN w:val="0"/>
        <w:adjustRightInd w:val="0"/>
        <w:spacing w:after="0" w:line="240" w:lineRule="auto"/>
        <w:jc w:val="both"/>
        <w:rPr>
          <w:rFonts w:ascii="Calibri" w:hAnsi="Calibri" w:cs="Calibri"/>
          <w:color w:val="000000"/>
        </w:rPr>
      </w:pPr>
      <w:r w:rsidRPr="003F4A27">
        <w:rPr>
          <w:rFonts w:ascii="Calibri" w:hAnsi="Calibri" w:cs="Calibri"/>
          <w:i/>
          <w:iCs/>
          <w:color w:val="000000"/>
        </w:rPr>
        <w:t>Μέτρ</w:t>
      </w:r>
      <w:r w:rsidR="001A58E0" w:rsidRPr="003F4A27">
        <w:rPr>
          <w:rFonts w:ascii="Calibri" w:hAnsi="Calibri" w:cs="Calibri"/>
          <w:i/>
          <w:iCs/>
          <w:color w:val="000000"/>
        </w:rPr>
        <w:t xml:space="preserve">α για την Ολοκληρωμένη Θαλάσσια Πολιτική (άρθρο 79, παράγραφος 1) στοιχείο α)) </w:t>
      </w:r>
    </w:p>
    <w:p w:rsidR="001A58E0" w:rsidRPr="001A58E0" w:rsidRDefault="001A58E0" w:rsidP="001A58E0">
      <w:pPr>
        <w:autoSpaceDE w:val="0"/>
        <w:autoSpaceDN w:val="0"/>
        <w:adjustRightInd w:val="0"/>
        <w:spacing w:after="0" w:line="240" w:lineRule="auto"/>
        <w:rPr>
          <w:rFonts w:ascii="Calibri" w:hAnsi="Calibri" w:cs="Calibri"/>
          <w:color w:val="000000"/>
        </w:rPr>
      </w:pPr>
    </w:p>
    <w:p w:rsidR="001A58E0" w:rsidRDefault="001A58E0" w:rsidP="001A58E0">
      <w:pPr>
        <w:pStyle w:val="Default"/>
        <w:jc w:val="both"/>
        <w:rPr>
          <w:b/>
          <w:bCs/>
          <w:i/>
          <w:iCs/>
          <w:sz w:val="22"/>
          <w:szCs w:val="22"/>
          <w:lang w:val="en-US"/>
        </w:rPr>
      </w:pPr>
    </w:p>
    <w:p w:rsidR="001A58E0" w:rsidRDefault="001A58E0" w:rsidP="001A58E0">
      <w:pPr>
        <w:pStyle w:val="Default"/>
        <w:jc w:val="both"/>
        <w:rPr>
          <w:b/>
          <w:bCs/>
          <w:i/>
          <w:iCs/>
          <w:sz w:val="22"/>
          <w:szCs w:val="22"/>
          <w:lang w:val="en-US"/>
        </w:rPr>
      </w:pPr>
    </w:p>
    <w:p w:rsidR="001A58E0" w:rsidRPr="001A58E0" w:rsidRDefault="001A58E0" w:rsidP="001A58E0">
      <w:pPr>
        <w:pStyle w:val="Default"/>
        <w:jc w:val="both"/>
        <w:rPr>
          <w:b/>
          <w:bCs/>
          <w:i/>
          <w:iCs/>
          <w:sz w:val="22"/>
          <w:szCs w:val="22"/>
          <w:lang w:val="en-US"/>
        </w:rPr>
      </w:pPr>
    </w:p>
    <w:p w:rsidR="001A58E0" w:rsidRDefault="001A58E0" w:rsidP="001A58E0">
      <w:pPr>
        <w:pStyle w:val="Default"/>
        <w:jc w:val="both"/>
        <w:rPr>
          <w:b/>
          <w:bCs/>
          <w:i/>
          <w:iCs/>
          <w:sz w:val="22"/>
          <w:szCs w:val="22"/>
        </w:rPr>
      </w:pPr>
      <w:r>
        <w:rPr>
          <w:b/>
          <w:bCs/>
          <w:i/>
          <w:iCs/>
          <w:sz w:val="22"/>
          <w:szCs w:val="22"/>
        </w:rPr>
        <w:t xml:space="preserve">Έλεγχος και Επιβολή (άρθρο 76) </w:t>
      </w:r>
    </w:p>
    <w:p w:rsidR="003F4A27" w:rsidRDefault="003F4A27" w:rsidP="001A58E0">
      <w:pPr>
        <w:pStyle w:val="Default"/>
        <w:jc w:val="both"/>
        <w:rPr>
          <w:sz w:val="22"/>
          <w:szCs w:val="22"/>
        </w:rPr>
      </w:pPr>
    </w:p>
    <w:p w:rsidR="001A58E0" w:rsidRDefault="001A58E0" w:rsidP="001A58E0">
      <w:pPr>
        <w:pStyle w:val="Default"/>
        <w:jc w:val="both"/>
        <w:rPr>
          <w:sz w:val="22"/>
          <w:szCs w:val="22"/>
        </w:rPr>
      </w:pPr>
      <w:r>
        <w:rPr>
          <w:sz w:val="22"/>
          <w:szCs w:val="22"/>
        </w:rPr>
        <w:t xml:space="preserve">Το ΕΤΘΑ μπορεί να στηρίζει την υλοποίηση </w:t>
      </w:r>
      <w:proofErr w:type="spellStart"/>
      <w:r>
        <w:rPr>
          <w:sz w:val="22"/>
          <w:szCs w:val="22"/>
        </w:rPr>
        <w:t>ενωσιακού</w:t>
      </w:r>
      <w:proofErr w:type="spellEnd"/>
      <w:r>
        <w:rPr>
          <w:sz w:val="22"/>
          <w:szCs w:val="22"/>
        </w:rPr>
        <w:t xml:space="preserve"> συστήματος ελέγχου, επιθεώρησης και επιβολής κατά τα προβλεπόμενα στο άρθρο 36 του κανονισμού (ΕΕ) αριθ. 1380/2013 και τα περαιτέρω οριζόμενα στον κανονισμό (ΕΚ) του Συμβουλίου αριθ. 1224/2009. </w:t>
      </w:r>
    </w:p>
    <w:p w:rsidR="001A58E0" w:rsidRDefault="001A58E0" w:rsidP="001A58E0">
      <w:pPr>
        <w:pStyle w:val="Default"/>
        <w:jc w:val="both"/>
        <w:rPr>
          <w:sz w:val="22"/>
          <w:szCs w:val="22"/>
        </w:rPr>
      </w:pPr>
      <w:r>
        <w:rPr>
          <w:sz w:val="22"/>
          <w:szCs w:val="22"/>
        </w:rPr>
        <w:t xml:space="preserve">Τα κριτήρια που ακολουθούν αφορούν τις εξής δράσεις: </w:t>
      </w:r>
    </w:p>
    <w:p w:rsidR="001A58E0" w:rsidRDefault="001A58E0" w:rsidP="001A58E0">
      <w:pPr>
        <w:pStyle w:val="Default"/>
        <w:jc w:val="both"/>
        <w:rPr>
          <w:sz w:val="22"/>
          <w:szCs w:val="22"/>
        </w:rPr>
      </w:pPr>
      <w:r>
        <w:rPr>
          <w:sz w:val="22"/>
          <w:szCs w:val="22"/>
        </w:rPr>
        <w:t xml:space="preserve">α) αγορά, εγκατάσταση και/ή ανάπτυξη τεχνολογίας, συμπεριλαμβανομένου υλικού εξοπλισμού και λογισμικού ηλεκτρονικών υπολογιστών, συστημάτων εντοπισμού σκαφών (VDS), συστημάτων τηλεόρασης κλειστού κυκλώματος (CCTV), και δικτύων ΤΠ τα οποία καθιστούν δυνατή τη συλλογή, διαχείριση, επικύρωση, ανάλυση, διαχείριση κινδύνου, παρουσίαση (μέσω ιστοσελίδων που σχετίζονται με τον έλεγχο) και ανταλλαγή δεδομένων σχετικών με την αλιεία και την ανάπτυξη σχετικών μεθόδων δειγματοληψίας, καθώς και διασύνδεση με </w:t>
      </w:r>
      <w:proofErr w:type="spellStart"/>
      <w:r>
        <w:rPr>
          <w:sz w:val="22"/>
          <w:szCs w:val="22"/>
        </w:rPr>
        <w:t>διατομεακά</w:t>
      </w:r>
      <w:proofErr w:type="spellEnd"/>
      <w:r>
        <w:rPr>
          <w:sz w:val="22"/>
          <w:szCs w:val="22"/>
        </w:rPr>
        <w:t xml:space="preserve"> συστήματα ανταλλαγής δεδομένων· </w:t>
      </w:r>
    </w:p>
    <w:p w:rsidR="001A58E0" w:rsidRDefault="001A58E0" w:rsidP="001A58E0">
      <w:pPr>
        <w:pStyle w:val="Default"/>
        <w:jc w:val="both"/>
        <w:rPr>
          <w:sz w:val="22"/>
          <w:szCs w:val="22"/>
        </w:rPr>
      </w:pPr>
      <w:r>
        <w:rPr>
          <w:sz w:val="22"/>
          <w:szCs w:val="22"/>
        </w:rPr>
        <w:t xml:space="preserve">β) ανάπτυξη, αγορά και εγκατάσταση των απαραίτητων στοιχείων, περιλαμβανομένου υλικού και λογισμικού, για τη διασφάλιση της διαβίβασης δεδομένων από τους φορείς που ενέχονται στην αλιεία και στην εμπορία των προϊόντων της αλιείας στο οικείο κράτος μέλος και στις </w:t>
      </w:r>
      <w:proofErr w:type="spellStart"/>
      <w:r>
        <w:rPr>
          <w:sz w:val="22"/>
          <w:szCs w:val="22"/>
        </w:rPr>
        <w:t>ενωσιακές</w:t>
      </w:r>
      <w:proofErr w:type="spellEnd"/>
      <w:r>
        <w:rPr>
          <w:sz w:val="22"/>
          <w:szCs w:val="22"/>
        </w:rPr>
        <w:t xml:space="preserve"> αρχές, περιλαμβανομένων των απαραίτητων στοιχείων συστημάτων ηλεκτρονικής καταγραφής και αναφοράς πληροφοριών (ERS), συστημάτων παρακολούθησης σκαφών (VMS-ΣΠΣ) και συστημάτων αυτόματου εντοπισμού (AIS)· </w:t>
      </w:r>
    </w:p>
    <w:p w:rsidR="001A58E0" w:rsidRDefault="001A58E0" w:rsidP="001A58E0">
      <w:pPr>
        <w:pStyle w:val="Default"/>
        <w:jc w:val="both"/>
        <w:rPr>
          <w:sz w:val="22"/>
          <w:szCs w:val="22"/>
        </w:rPr>
      </w:pPr>
      <w:r>
        <w:rPr>
          <w:sz w:val="22"/>
          <w:szCs w:val="22"/>
        </w:rPr>
        <w:t xml:space="preserve">γ) ανάπτυξη, αγορά και εγκατάσταση των απαραίτητων στοιχείων, περιλαμβανομένου του υλικού και του λογισμικού, για τη διασφάλιση της </w:t>
      </w:r>
      <w:proofErr w:type="spellStart"/>
      <w:r>
        <w:rPr>
          <w:sz w:val="22"/>
          <w:szCs w:val="22"/>
        </w:rPr>
        <w:t>ιχνηλασιμότητας</w:t>
      </w:r>
      <w:proofErr w:type="spellEnd"/>
      <w:r>
        <w:rPr>
          <w:sz w:val="22"/>
          <w:szCs w:val="22"/>
        </w:rPr>
        <w:t xml:space="preserve"> των προϊόντων αλιείας και υδατοκαλλιέργειας όπως αναφέρεται στο άρθρο 58 του κανονισμού (ΕΚ) αριθ. 1224/2009· </w:t>
      </w:r>
    </w:p>
    <w:p w:rsidR="001A58E0" w:rsidRDefault="001A58E0" w:rsidP="001A58E0">
      <w:pPr>
        <w:pStyle w:val="Default"/>
        <w:jc w:val="both"/>
        <w:rPr>
          <w:sz w:val="22"/>
          <w:szCs w:val="22"/>
        </w:rPr>
      </w:pPr>
      <w:r>
        <w:rPr>
          <w:sz w:val="22"/>
          <w:szCs w:val="22"/>
        </w:rPr>
        <w:t xml:space="preserve">δ) εφαρμογή προγραμμάτων με στόχο την ανταλλαγή δεδομένων μεταξύ κρατών μελών και την ανάλυσή τους· </w:t>
      </w:r>
    </w:p>
    <w:p w:rsidR="001A58E0" w:rsidRDefault="001A58E0" w:rsidP="001A58E0">
      <w:pPr>
        <w:pStyle w:val="Default"/>
        <w:jc w:val="both"/>
        <w:rPr>
          <w:sz w:val="22"/>
          <w:szCs w:val="22"/>
        </w:rPr>
      </w:pPr>
      <w:r>
        <w:rPr>
          <w:sz w:val="22"/>
          <w:szCs w:val="22"/>
        </w:rPr>
        <w:t xml:space="preserve">ε) εκσυγχρονισμός και αγορά περιπολικών πλοίων, αεροσκαφών και ελικοπτέρων με την προϋπόθεση ότι τουλάχιστον το 60 % της συνολικής περιόδου χρήσης σε ετήσια βάση, χρησιμοποιείται για τον έλεγχο της αλιείας· </w:t>
      </w:r>
    </w:p>
    <w:p w:rsidR="001A58E0" w:rsidRDefault="001A58E0" w:rsidP="001A58E0">
      <w:pPr>
        <w:pStyle w:val="Default"/>
        <w:jc w:val="both"/>
        <w:rPr>
          <w:sz w:val="22"/>
          <w:szCs w:val="22"/>
        </w:rPr>
      </w:pPr>
      <w:r>
        <w:rPr>
          <w:sz w:val="22"/>
          <w:szCs w:val="22"/>
        </w:rPr>
        <w:lastRenderedPageBreak/>
        <w:t xml:space="preserve">στ) αγορά άλλων ελεγκτικών μέσων, συμπεριλαμβανομένων των συσκευών για τον υπολογισμό της ισχύος του κινητήρα και του εξοπλισμού ζύγισης· </w:t>
      </w:r>
    </w:p>
    <w:p w:rsidR="001A58E0" w:rsidRDefault="001A58E0" w:rsidP="001A58E0">
      <w:pPr>
        <w:pStyle w:val="Default"/>
        <w:jc w:val="both"/>
        <w:rPr>
          <w:sz w:val="22"/>
          <w:szCs w:val="22"/>
        </w:rPr>
      </w:pPr>
      <w:r>
        <w:rPr>
          <w:sz w:val="22"/>
          <w:szCs w:val="22"/>
        </w:rPr>
        <w:t xml:space="preserve">ζ) ανάπτυξη καινοτόμων συστημάτων ελέγχου και παρακολούθηση και εφαρμογή πιλοτικών προγραμμάτων για τον έλεγχο της αλιείας, συμπεριλαμβανομένης της ανάλυσης του γενετικού υλικού (DNA) των ιχθύων και της δημιουργίας </w:t>
      </w:r>
      <w:proofErr w:type="spellStart"/>
      <w:r>
        <w:rPr>
          <w:sz w:val="22"/>
          <w:szCs w:val="22"/>
        </w:rPr>
        <w:t>ιστότοπων</w:t>
      </w:r>
      <w:proofErr w:type="spellEnd"/>
      <w:r>
        <w:rPr>
          <w:sz w:val="22"/>
          <w:szCs w:val="22"/>
        </w:rPr>
        <w:t xml:space="preserve"> συναφών με τον έλεγχο· </w:t>
      </w:r>
    </w:p>
    <w:p w:rsidR="001A58E0" w:rsidRDefault="001A58E0" w:rsidP="001A58E0">
      <w:pPr>
        <w:pStyle w:val="Default"/>
        <w:jc w:val="both"/>
        <w:rPr>
          <w:sz w:val="22"/>
          <w:szCs w:val="22"/>
        </w:rPr>
      </w:pPr>
      <w:r>
        <w:rPr>
          <w:sz w:val="22"/>
          <w:szCs w:val="22"/>
        </w:rPr>
        <w:t xml:space="preserve">η) προγράμματα κατάρτισης και ανταλλαγής, και ανάμεσα στα κράτη μέλη, προσωπικού επιφορτισμένου με την παρακολούθηση, τον έλεγχο και την επιτήρηση αλιευτικών δραστηριοτήτων· </w:t>
      </w:r>
    </w:p>
    <w:p w:rsidR="001A58E0" w:rsidRDefault="001A58E0" w:rsidP="001A58E0">
      <w:pPr>
        <w:pStyle w:val="Default"/>
        <w:jc w:val="both"/>
        <w:rPr>
          <w:sz w:val="22"/>
          <w:szCs w:val="22"/>
        </w:rPr>
      </w:pPr>
      <w:r>
        <w:rPr>
          <w:sz w:val="22"/>
          <w:szCs w:val="22"/>
        </w:rPr>
        <w:t xml:space="preserve">θ) ανάλυση κόστους/ωφέλειας, αξιολόγηση δαπανών και λογιστικών ελέγχων που πραγματοποιούνται από τις αρμόδιες αρχές κατά τη διενέργεια δραστηριοτήτων παρακολούθησης, ελέγχου και επιτήρησης, </w:t>
      </w:r>
    </w:p>
    <w:p w:rsidR="001A58E0" w:rsidRDefault="001A58E0" w:rsidP="001A58E0">
      <w:pPr>
        <w:pStyle w:val="Default"/>
        <w:jc w:val="both"/>
        <w:rPr>
          <w:sz w:val="22"/>
          <w:szCs w:val="22"/>
        </w:rPr>
      </w:pPr>
      <w:r>
        <w:rPr>
          <w:sz w:val="22"/>
          <w:szCs w:val="22"/>
        </w:rPr>
        <w:t xml:space="preserve">ι) πρωτοβουλίες, συμπεριλαμβανομένων σεμιναρίων και εργαλείων μέσων μαζικής ενημέρωσης, που έχουν ως στόχο την ευαισθητοποίηση τόσο των αλιέων, όσο και των άλλων παραγόντων του κλάδου, όπως οι επιθεωρητές, οι εισαγγελείς και οι δικαστές, καθώς και του κοινού, σχετικά με την ανάγκη καταπολέμησης της παράνομης, λαθραίας και άναρχης αλιείας και για την εφαρμογή των κανόνων της </w:t>
      </w:r>
      <w:proofErr w:type="spellStart"/>
      <w:r>
        <w:rPr>
          <w:sz w:val="22"/>
          <w:szCs w:val="22"/>
        </w:rPr>
        <w:t>ΚΑλΠ</w:t>
      </w:r>
      <w:proofErr w:type="spellEnd"/>
      <w:r>
        <w:rPr>
          <w:sz w:val="22"/>
          <w:szCs w:val="22"/>
        </w:rPr>
        <w:t xml:space="preserve">· </w:t>
      </w:r>
    </w:p>
    <w:p w:rsidR="003F4A27" w:rsidRDefault="001A58E0" w:rsidP="003F4A27">
      <w:pPr>
        <w:pStyle w:val="Default"/>
        <w:jc w:val="both"/>
        <w:rPr>
          <w:sz w:val="22"/>
          <w:szCs w:val="22"/>
        </w:rPr>
      </w:pPr>
      <w:r>
        <w:rPr>
          <w:sz w:val="22"/>
          <w:szCs w:val="22"/>
        </w:rPr>
        <w:t xml:space="preserve">ια) λειτουργικές δαπάνες κατά την εφαρμογή ενισχυμένου ελέγχου για αποθέματα που υπόκεινται σε ειδικά προγράμματα ελέγχου και επιθεώρησης που εφαρμόζονται σύμφωνα προς το άρθρο 95 του κανονισμού (ΕΚ) αριθ. 1224/2009 και για τον έλεγχο του συντονισμού σύμφωνα προς το άρθρο 15 του κανονισμού (ΕΚ) αριθ. 768/2005 του Συμβουλίου 34 </w:t>
      </w:r>
    </w:p>
    <w:p w:rsidR="003F4A27" w:rsidRDefault="003F4A27" w:rsidP="003F4A27">
      <w:pPr>
        <w:pStyle w:val="Default"/>
        <w:jc w:val="both"/>
        <w:rPr>
          <w:sz w:val="22"/>
          <w:szCs w:val="22"/>
        </w:rPr>
      </w:pPr>
      <w:r w:rsidRPr="003F4A27">
        <w:rPr>
          <w:sz w:val="22"/>
          <w:szCs w:val="22"/>
        </w:rPr>
        <w:t xml:space="preserve">ιβ) προγράμματα που συνδέονται με την εφαρμογή σχεδίου δράσης που καθορίζεται σύμφωνα με το άρθρο 102 παράγραφος 4 του κανονισμού (ΕΚ) αριθ. 1224/2009, συμπεριλαμβανομένων των λειτουργικών δαπανών που προκύπτουν. </w:t>
      </w:r>
    </w:p>
    <w:p w:rsidR="003F4A27" w:rsidRPr="003F4A27" w:rsidRDefault="003F4A27" w:rsidP="003F4A27">
      <w:pPr>
        <w:pStyle w:val="Default"/>
        <w:jc w:val="both"/>
        <w:rPr>
          <w:sz w:val="22"/>
          <w:szCs w:val="22"/>
        </w:rPr>
      </w:pPr>
    </w:p>
    <w:p w:rsidR="003F4A27" w:rsidRPr="003F4A27" w:rsidRDefault="003F4A27" w:rsidP="003F4A27">
      <w:pPr>
        <w:pStyle w:val="Default"/>
        <w:rPr>
          <w:b/>
        </w:rPr>
      </w:pPr>
      <w:r w:rsidRPr="003F4A27">
        <w:rPr>
          <w:b/>
        </w:rPr>
        <w:t>Οι ανωτέρω δράσεις αφορούν δραστηριότητες ελέγχου που πραγματοποιούνται από δημόσια αρχή και για το λόγο αυτό επιλέγεται η άμεση αξιολόγηση για την επιλογή των πράξεων.</w:t>
      </w:r>
    </w:p>
    <w:p w:rsidR="001A58E0" w:rsidRPr="003F4A27" w:rsidRDefault="001A58E0" w:rsidP="001A58E0">
      <w:pPr>
        <w:pStyle w:val="Default"/>
        <w:jc w:val="both"/>
        <w:rPr>
          <w:sz w:val="22"/>
          <w:szCs w:val="22"/>
        </w:rPr>
      </w:pPr>
      <w:bookmarkStart w:id="0" w:name="_GoBack"/>
      <w:bookmarkEnd w:id="0"/>
    </w:p>
    <w:sectPr w:rsidR="001A58E0" w:rsidRPr="003F4A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A29DB"/>
    <w:multiLevelType w:val="hybridMultilevel"/>
    <w:tmpl w:val="C29B1C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EC873FE"/>
    <w:multiLevelType w:val="hybridMultilevel"/>
    <w:tmpl w:val="64FF0D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958EDA6"/>
    <w:multiLevelType w:val="hybridMultilevel"/>
    <w:tmpl w:val="AAA511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C759B45"/>
    <w:multiLevelType w:val="hybridMultilevel"/>
    <w:tmpl w:val="BD32F0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AD50D4"/>
    <w:multiLevelType w:val="hybridMultilevel"/>
    <w:tmpl w:val="4B4886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2CBA0D"/>
    <w:multiLevelType w:val="hybridMultilevel"/>
    <w:tmpl w:val="E8B918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6F85615"/>
    <w:multiLevelType w:val="hybridMultilevel"/>
    <w:tmpl w:val="6ECA9C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B5632F"/>
    <w:multiLevelType w:val="hybridMultilevel"/>
    <w:tmpl w:val="9F609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F70E7D9"/>
    <w:multiLevelType w:val="hybridMultilevel"/>
    <w:tmpl w:val="4D2DE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ECADEE9"/>
    <w:multiLevelType w:val="hybridMultilevel"/>
    <w:tmpl w:val="36F05E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451212C"/>
    <w:multiLevelType w:val="hybridMultilevel"/>
    <w:tmpl w:val="4E1098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D527A49"/>
    <w:multiLevelType w:val="hybridMultilevel"/>
    <w:tmpl w:val="4FFA81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6685E33"/>
    <w:multiLevelType w:val="hybridMultilevel"/>
    <w:tmpl w:val="7CD436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FC84C28"/>
    <w:multiLevelType w:val="hybridMultilevel"/>
    <w:tmpl w:val="4C59E3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3"/>
  </w:num>
  <w:num w:numId="3">
    <w:abstractNumId w:val="1"/>
  </w:num>
  <w:num w:numId="4">
    <w:abstractNumId w:val="5"/>
  </w:num>
  <w:num w:numId="5">
    <w:abstractNumId w:val="8"/>
  </w:num>
  <w:num w:numId="6">
    <w:abstractNumId w:val="11"/>
  </w:num>
  <w:num w:numId="7">
    <w:abstractNumId w:val="9"/>
  </w:num>
  <w:num w:numId="8">
    <w:abstractNumId w:val="12"/>
  </w:num>
  <w:num w:numId="9">
    <w:abstractNumId w:val="2"/>
  </w:num>
  <w:num w:numId="10">
    <w:abstractNumId w:val="0"/>
  </w:num>
  <w:num w:numId="11">
    <w:abstractNumId w:val="3"/>
  </w:num>
  <w:num w:numId="12">
    <w:abstractNumId w:val="7"/>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26"/>
    <w:rsid w:val="001A58E0"/>
    <w:rsid w:val="003F4A27"/>
    <w:rsid w:val="00500994"/>
    <w:rsid w:val="00F712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58E0"/>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3F4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58E0"/>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3F4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1687</Words>
  <Characters>9112</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ΚΑΤΗΣ ΓΕΩΡΓΙΟΣ</dc:creator>
  <cp:keywords/>
  <dc:description/>
  <cp:lastModifiedBy>ΚΑΤΗΣ ΓΕΩΡΓΙΟΣ</cp:lastModifiedBy>
  <cp:revision>2</cp:revision>
  <dcterms:created xsi:type="dcterms:W3CDTF">2017-10-03T16:26:00Z</dcterms:created>
  <dcterms:modified xsi:type="dcterms:W3CDTF">2017-10-03T16:41:00Z</dcterms:modified>
</cp:coreProperties>
</file>