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DEE" w:rsidRPr="00B218A7" w:rsidRDefault="003D3DEE" w:rsidP="003D3DEE">
      <w:pPr>
        <w:autoSpaceDE w:val="0"/>
        <w:jc w:val="center"/>
        <w:rPr>
          <w:rFonts w:ascii="Arial Black" w:hAnsi="Arial Black" w:cs="Verdana"/>
          <w:b/>
          <w:bCs/>
          <w:sz w:val="20"/>
          <w:szCs w:val="20"/>
        </w:rPr>
      </w:pPr>
      <w:r w:rsidRPr="00076586">
        <w:rPr>
          <w:rFonts w:ascii="Arial Black" w:hAnsi="Arial Black" w:cs="Verdana"/>
          <w:b/>
          <w:bCs/>
          <w:sz w:val="20"/>
          <w:szCs w:val="20"/>
        </w:rPr>
        <w:t>ΠΑΡΑΡΤΗΜΑ 1γ</w:t>
      </w:r>
    </w:p>
    <w:p w:rsidR="003D3DEE" w:rsidRPr="00D05EA7" w:rsidRDefault="003D3DEE" w:rsidP="003D3DEE">
      <w:pPr>
        <w:autoSpaceDE w:val="0"/>
        <w:jc w:val="both"/>
        <w:rPr>
          <w:rFonts w:asciiTheme="minorHAnsi" w:eastAsia="Arial" w:hAnsiTheme="minorHAnsi" w:cs="Arial"/>
        </w:rPr>
      </w:pPr>
      <w:r w:rsidRPr="00D05EA7">
        <w:rPr>
          <w:rFonts w:asciiTheme="minorHAnsi" w:hAnsiTheme="minorHAnsi" w:cs="Verdana"/>
          <w:b/>
          <w:bCs/>
        </w:rPr>
        <w:t>Κριτήρια Βιωσιμότητας του επενδυτικού σχεδίου και προοπτική κερδοφορίας του</w:t>
      </w:r>
      <w:r w:rsidRPr="00D05EA7">
        <w:rPr>
          <w:rFonts w:asciiTheme="minorHAnsi" w:eastAsia="Arial" w:hAnsiTheme="minorHAnsi" w:cs="Arial"/>
        </w:rPr>
        <w:t xml:space="preserve"> </w:t>
      </w:r>
    </w:p>
    <w:p w:rsidR="003D3DEE" w:rsidRPr="00D05EA7" w:rsidRDefault="003D3DEE" w:rsidP="003D3DEE">
      <w:pPr>
        <w:autoSpaceDE w:val="0"/>
        <w:jc w:val="both"/>
        <w:rPr>
          <w:rFonts w:asciiTheme="minorHAnsi" w:hAnsiTheme="minorHAnsi" w:cs="Verdana"/>
        </w:rPr>
      </w:pPr>
      <w:r w:rsidRPr="00D05EA7">
        <w:rPr>
          <w:rFonts w:asciiTheme="minorHAnsi" w:hAnsiTheme="minorHAnsi" w:cs="Verdana"/>
        </w:rPr>
        <w:t>Στην Ομάδα αυτή η βαθμολογία κυμαίνεται από 0-8 και εξειδικεύεται στα ακόλουθα κριτήρια:</w:t>
      </w:r>
    </w:p>
    <w:p w:rsidR="003D3DEE" w:rsidRPr="00D05EA7" w:rsidRDefault="003D3DEE" w:rsidP="003D3DEE">
      <w:pPr>
        <w:autoSpaceDE w:val="0"/>
        <w:jc w:val="both"/>
        <w:rPr>
          <w:rFonts w:asciiTheme="minorHAnsi" w:hAnsiTheme="minorHAnsi" w:cs="Verdana"/>
        </w:rPr>
      </w:pPr>
    </w:p>
    <w:p w:rsidR="003D3DEE" w:rsidRPr="00D05EA7" w:rsidRDefault="003D3DEE" w:rsidP="003D3DEE">
      <w:pPr>
        <w:autoSpaceDE w:val="0"/>
        <w:jc w:val="both"/>
        <w:rPr>
          <w:rFonts w:asciiTheme="minorHAnsi" w:hAnsiTheme="minorHAnsi" w:cs="Verdana"/>
          <w:b/>
          <w:bCs/>
        </w:rPr>
      </w:pPr>
      <w:r w:rsidRPr="00D05EA7">
        <w:rPr>
          <w:rFonts w:asciiTheme="minorHAnsi" w:hAnsiTheme="minorHAnsi" w:cs="Verdana"/>
          <w:b/>
          <w:bCs/>
        </w:rPr>
        <w:t>1. Χρηματοοικονομική ανάλυση της επένδυσης (εσωτερικός συντελεστής απόδοσης).</w:t>
      </w:r>
    </w:p>
    <w:p w:rsidR="003D3DEE" w:rsidRPr="00D05EA7" w:rsidRDefault="003D3DEE" w:rsidP="003D3DEE">
      <w:pPr>
        <w:autoSpaceDE w:val="0"/>
        <w:jc w:val="both"/>
        <w:rPr>
          <w:rFonts w:asciiTheme="minorHAnsi" w:hAnsiTheme="minorHAnsi" w:cs="Verdana"/>
        </w:rPr>
      </w:pPr>
      <w:r w:rsidRPr="00D05EA7">
        <w:rPr>
          <w:rFonts w:asciiTheme="minorHAnsi" w:hAnsiTheme="minorHAnsi" w:cs="Verdana"/>
        </w:rPr>
        <w:t xml:space="preserve">Η βαθμολογία του κριτηρίου κυμαίνεται από </w:t>
      </w:r>
      <w:r w:rsidRPr="00D05EA7">
        <w:rPr>
          <w:rFonts w:asciiTheme="minorHAnsi" w:hAnsiTheme="minorHAnsi" w:cs="Verdana"/>
          <w:b/>
          <w:bCs/>
        </w:rPr>
        <w:t xml:space="preserve">0-4 </w:t>
      </w:r>
      <w:r w:rsidRPr="00D05EA7">
        <w:rPr>
          <w:rFonts w:asciiTheme="minorHAnsi" w:hAnsiTheme="minorHAnsi" w:cs="Verdana"/>
        </w:rPr>
        <w:t>και προκύπτει από το δείκτη:</w:t>
      </w:r>
    </w:p>
    <w:p w:rsidR="003D3DEE" w:rsidRPr="00D05EA7" w:rsidRDefault="003D3DEE" w:rsidP="003D3DEE">
      <w:pPr>
        <w:autoSpaceDE w:val="0"/>
        <w:jc w:val="both"/>
        <w:rPr>
          <w:rFonts w:asciiTheme="minorHAnsi" w:hAnsiTheme="minorHAnsi" w:cs="Verdana"/>
        </w:rPr>
      </w:pPr>
      <w:r w:rsidRPr="00D05EA7">
        <w:rPr>
          <w:rFonts w:asciiTheme="minorHAnsi" w:hAnsiTheme="minorHAnsi" w:cs="Verdana"/>
          <w:b/>
          <w:bCs/>
        </w:rPr>
        <w:t xml:space="preserve">Εσωτερικός συντελεστής απόδοσης (IRR) </w:t>
      </w:r>
      <w:r w:rsidRPr="00D05EA7">
        <w:rPr>
          <w:rFonts w:asciiTheme="minorHAnsi" w:hAnsiTheme="minorHAnsi" w:cs="Verdana"/>
        </w:rPr>
        <w:t>επί του συνόλου των επενδυόμενων κεφαλαίων με βάση της εισροές – εκροές της επένδυσης για τα πρώτα 5 έτη λειτουργίας μετά την ολοκλήρωσή της.</w:t>
      </w:r>
    </w:p>
    <w:p w:rsidR="003D3DEE" w:rsidRPr="00D05EA7" w:rsidRDefault="003D3DEE" w:rsidP="003D3DEE">
      <w:pPr>
        <w:autoSpaceDE w:val="0"/>
        <w:jc w:val="both"/>
        <w:rPr>
          <w:rFonts w:asciiTheme="minorHAnsi" w:hAnsiTheme="minorHAnsi" w:cs="Verdana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968"/>
        <w:gridCol w:w="3564"/>
      </w:tblGrid>
      <w:tr w:rsidR="003D3DEE" w:rsidRPr="00D05EA7" w:rsidTr="00125046">
        <w:trPr>
          <w:trHeight w:val="47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  <w:b/>
                <w:bCs/>
              </w:rPr>
            </w:pPr>
            <w:r w:rsidRPr="00D05EA7">
              <w:rPr>
                <w:rFonts w:asciiTheme="minorHAnsi" w:hAnsiTheme="minorHAnsi" w:cs="Verdana"/>
                <w:b/>
                <w:bCs/>
              </w:rPr>
              <w:t>Δείκτης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Βαθμός 0 - 4</w:t>
            </w:r>
          </w:p>
        </w:tc>
      </w:tr>
      <w:tr w:rsidR="003D3DEE" w:rsidRPr="00D05EA7" w:rsidTr="00125046">
        <w:trPr>
          <w:trHeight w:val="535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IRR≥15%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4</w:t>
            </w:r>
          </w:p>
        </w:tc>
      </w:tr>
      <w:tr w:rsidR="003D3DEE" w:rsidRPr="00D05EA7" w:rsidTr="00125046">
        <w:trPr>
          <w:trHeight w:val="515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15%&gt; IRR≥10%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3</w:t>
            </w:r>
          </w:p>
        </w:tc>
      </w:tr>
      <w:tr w:rsidR="003D3DEE" w:rsidRPr="00D05EA7" w:rsidTr="00125046">
        <w:trPr>
          <w:trHeight w:val="515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10%&gt; IRR≥5%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2</w:t>
            </w:r>
          </w:p>
        </w:tc>
      </w:tr>
      <w:tr w:rsidR="003D3DEE" w:rsidRPr="00D05EA7" w:rsidTr="00125046">
        <w:trPr>
          <w:trHeight w:val="515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5%&gt; IRR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0</w:t>
            </w:r>
          </w:p>
        </w:tc>
      </w:tr>
    </w:tbl>
    <w:p w:rsidR="003D3DEE" w:rsidRPr="00D05EA7" w:rsidRDefault="003D3DEE" w:rsidP="003D3DEE">
      <w:pPr>
        <w:autoSpaceDE w:val="0"/>
        <w:jc w:val="both"/>
        <w:rPr>
          <w:rFonts w:asciiTheme="minorHAnsi" w:hAnsiTheme="minorHAnsi" w:cs="Verdana"/>
          <w:b/>
          <w:bCs/>
        </w:rPr>
      </w:pPr>
    </w:p>
    <w:p w:rsidR="003D3DEE" w:rsidRPr="00D05EA7" w:rsidRDefault="003D3DEE" w:rsidP="003D3DEE">
      <w:pPr>
        <w:autoSpaceDE w:val="0"/>
        <w:jc w:val="both"/>
        <w:rPr>
          <w:rFonts w:asciiTheme="minorHAnsi" w:hAnsiTheme="minorHAnsi" w:cs="Verdana"/>
          <w:b/>
          <w:bCs/>
        </w:rPr>
      </w:pPr>
      <w:r w:rsidRPr="00D05EA7">
        <w:rPr>
          <w:rFonts w:asciiTheme="minorHAnsi" w:hAnsiTheme="minorHAnsi" w:cs="Verdana"/>
          <w:b/>
          <w:bCs/>
        </w:rPr>
        <w:t>2. Χρηματοοικονομική ανάλυση του φορέα - δείκτης κερδοφορίας.</w:t>
      </w:r>
    </w:p>
    <w:p w:rsidR="003D3DEE" w:rsidRPr="00D05EA7" w:rsidRDefault="003D3DEE" w:rsidP="003D3DEE">
      <w:pPr>
        <w:autoSpaceDE w:val="0"/>
        <w:jc w:val="both"/>
        <w:rPr>
          <w:rFonts w:asciiTheme="minorHAnsi" w:hAnsiTheme="minorHAnsi" w:cs="Verdana"/>
          <w:b/>
          <w:bCs/>
        </w:rPr>
      </w:pPr>
      <w:r w:rsidRPr="00D05EA7">
        <w:rPr>
          <w:rFonts w:asciiTheme="minorHAnsi" w:hAnsiTheme="minorHAnsi" w:cs="Verdana"/>
          <w:b/>
          <w:bCs/>
        </w:rPr>
        <w:t xml:space="preserve">Δείκτης κερδοφορίας </w:t>
      </w:r>
    </w:p>
    <w:tbl>
      <w:tblPr>
        <w:tblW w:w="0" w:type="auto"/>
        <w:tblInd w:w="-5" w:type="dxa"/>
        <w:tblLayout w:type="fixed"/>
        <w:tblLook w:val="0000"/>
      </w:tblPr>
      <w:tblGrid>
        <w:gridCol w:w="4968"/>
        <w:gridCol w:w="3564"/>
      </w:tblGrid>
      <w:tr w:rsidR="003D3DEE" w:rsidRPr="00D05EA7" w:rsidTr="00125046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ΔΚ = αποτελέσματα προ τόκων και φόρων/κύκλος εργασιών (μέσος όρος βάσει των προβλέψεων για τα πρώτα 5 έτη λειτουργίας μετά την ολοκλήρωση της επένδυσης)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Βαθμός 0 - 4</w:t>
            </w:r>
          </w:p>
          <w:p w:rsidR="003D3DEE" w:rsidRPr="00D05EA7" w:rsidRDefault="003D3DEE" w:rsidP="00125046">
            <w:pPr>
              <w:autoSpaceDE w:val="0"/>
              <w:jc w:val="center"/>
              <w:rPr>
                <w:rFonts w:asciiTheme="minorHAnsi" w:hAnsiTheme="minorHAnsi" w:cs="Verdana"/>
              </w:rPr>
            </w:pPr>
          </w:p>
        </w:tc>
      </w:tr>
      <w:tr w:rsidR="003D3DEE" w:rsidRPr="00D05EA7" w:rsidTr="00125046">
        <w:trPr>
          <w:trHeight w:val="407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ΔΚ≥20%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4</w:t>
            </w:r>
          </w:p>
        </w:tc>
      </w:tr>
      <w:tr w:rsidR="003D3DEE" w:rsidRPr="00D05EA7" w:rsidTr="00125046">
        <w:trPr>
          <w:trHeight w:val="347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20%&gt; ΔΚ ≥10%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3</w:t>
            </w:r>
          </w:p>
        </w:tc>
      </w:tr>
      <w:tr w:rsidR="003D3DEE" w:rsidRPr="00D05EA7" w:rsidTr="00125046">
        <w:trPr>
          <w:trHeight w:val="343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10%&gt; ΔΚ ≥5%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2</w:t>
            </w:r>
          </w:p>
        </w:tc>
      </w:tr>
      <w:tr w:rsidR="003D3DEE" w:rsidRPr="00D05EA7" w:rsidTr="00125046">
        <w:trPr>
          <w:trHeight w:val="367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5%&gt; ΔΚ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DEE" w:rsidRPr="00D05EA7" w:rsidRDefault="003D3DEE" w:rsidP="00125046">
            <w:pPr>
              <w:autoSpaceDE w:val="0"/>
              <w:snapToGrid w:val="0"/>
              <w:jc w:val="center"/>
              <w:rPr>
                <w:rFonts w:asciiTheme="minorHAnsi" w:hAnsiTheme="minorHAnsi" w:cs="Verdana"/>
              </w:rPr>
            </w:pPr>
            <w:r w:rsidRPr="00D05EA7">
              <w:rPr>
                <w:rFonts w:asciiTheme="minorHAnsi" w:hAnsiTheme="minorHAnsi" w:cs="Verdana"/>
              </w:rPr>
              <w:t>0</w:t>
            </w:r>
          </w:p>
        </w:tc>
      </w:tr>
    </w:tbl>
    <w:p w:rsidR="003D3DEE" w:rsidRPr="00D05EA7" w:rsidRDefault="003D3DEE" w:rsidP="003D3DEE">
      <w:pPr>
        <w:pStyle w:val="3"/>
        <w:rPr>
          <w:rFonts w:asciiTheme="minorHAnsi" w:hAnsiTheme="minorHAnsi"/>
          <w:sz w:val="22"/>
          <w:szCs w:val="22"/>
        </w:rPr>
      </w:pPr>
    </w:p>
    <w:p w:rsidR="003D3DEE" w:rsidRPr="00D05EA7" w:rsidRDefault="003D3DEE" w:rsidP="003D3DEE">
      <w:pPr>
        <w:pStyle w:val="3"/>
        <w:rPr>
          <w:rFonts w:asciiTheme="minorHAnsi" w:hAnsiTheme="minorHAnsi"/>
          <w:sz w:val="22"/>
          <w:szCs w:val="22"/>
        </w:rPr>
      </w:pPr>
    </w:p>
    <w:p w:rsidR="003D3DEE" w:rsidRPr="00D05EA7" w:rsidRDefault="003D3DEE" w:rsidP="003D3DEE"/>
    <w:p w:rsidR="00752327" w:rsidRPr="00D05EA7" w:rsidRDefault="00752327">
      <w:pPr>
        <w:rPr>
          <w:lang w:val="en-US"/>
        </w:rPr>
      </w:pPr>
    </w:p>
    <w:sectPr w:rsidR="00752327" w:rsidRPr="00D05EA7" w:rsidSect="00D05EA7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D3DEE"/>
    <w:rsid w:val="001F0272"/>
    <w:rsid w:val="002C4F2D"/>
    <w:rsid w:val="003D3DEE"/>
    <w:rsid w:val="0067254D"/>
    <w:rsid w:val="00752327"/>
    <w:rsid w:val="00840CEA"/>
    <w:rsid w:val="00936556"/>
    <w:rsid w:val="00966BC0"/>
    <w:rsid w:val="00C12A4C"/>
    <w:rsid w:val="00D05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DEE"/>
    <w:pPr>
      <w:spacing w:before="0" w:after="200" w:line="276" w:lineRule="auto"/>
      <w:jc w:val="left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Char1"/>
    <w:uiPriority w:val="99"/>
    <w:qFormat/>
    <w:rsid w:val="003D3DE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semiHidden/>
    <w:rsid w:val="003D3D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Char1">
    <w:name w:val="Επικεφαλίδα 3 Char1"/>
    <w:basedOn w:val="a0"/>
    <w:link w:val="3"/>
    <w:uiPriority w:val="99"/>
    <w:rsid w:val="003D3DEE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756</Characters>
  <Application>Microsoft Office Word</Application>
  <DocSecurity>0</DocSecurity>
  <Lines>6</Lines>
  <Paragraphs>1</Paragraphs>
  <ScaleCrop>false</ScaleCrop>
  <Company>MOD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</dc:creator>
  <cp:keywords/>
  <dc:description/>
  <cp:lastModifiedBy>MOD</cp:lastModifiedBy>
  <cp:revision>3</cp:revision>
  <dcterms:created xsi:type="dcterms:W3CDTF">2014-07-09T14:12:00Z</dcterms:created>
  <dcterms:modified xsi:type="dcterms:W3CDTF">2014-07-09T14:14:00Z</dcterms:modified>
</cp:coreProperties>
</file>