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00607887"/>
        <w:docPartObj>
          <w:docPartGallery w:val="Cover Pages"/>
          <w:docPartUnique/>
        </w:docPartObj>
      </w:sdtPr>
      <w:sdtEndPr>
        <w:rPr>
          <w:caps w:val="0"/>
          <w:color w:val="17365D" w:themeColor="text2" w:themeShade="BF"/>
          <w:spacing w:val="5"/>
          <w:kern w:val="28"/>
          <w:sz w:val="16"/>
          <w:szCs w:val="16"/>
        </w:rPr>
      </w:sdtEndPr>
      <w:sdtContent>
        <w:tbl>
          <w:tblPr>
            <w:tblW w:w="5123" w:type="pct"/>
            <w:jc w:val="center"/>
            <w:tblLook w:val="04A0" w:firstRow="1" w:lastRow="0" w:firstColumn="1" w:lastColumn="0" w:noHBand="0" w:noVBand="1"/>
          </w:tblPr>
          <w:tblGrid>
            <w:gridCol w:w="10207"/>
          </w:tblGrid>
          <w:tr w:rsidR="00105702" w:rsidTr="00D0423E">
            <w:trPr>
              <w:trHeight w:val="3783"/>
              <w:jc w:val="center"/>
            </w:trPr>
            <w:sdt>
              <w:sdtPr>
                <w:rPr>
                  <w:rFonts w:asciiTheme="majorHAnsi" w:eastAsiaTheme="majorEastAsia" w:hAnsiTheme="majorHAnsi" w:cstheme="majorBidi"/>
                  <w:caps/>
                  <w:lang w:eastAsia="en-US"/>
                </w:rPr>
                <w:alias w:val="Εταιρεία"/>
                <w:id w:val="15524243"/>
                <w:placeholder>
                  <w:docPart w:val="102523725F2148C78DE2503E385A2643"/>
                </w:placeholder>
                <w:dataBinding w:prefixMappings="xmlns:ns0='http://schemas.openxmlformats.org/officeDocument/2006/extended-properties'" w:xpath="/ns0:Properties[1]/ns0:Company[1]" w:storeItemID="{6668398D-A668-4E3E-A5EB-62B293D839F1}"/>
                <w:text/>
              </w:sdtPr>
              <w:sdtEndPr>
                <w:rPr>
                  <w:b/>
                  <w:i/>
                  <w:color w:val="244061" w:themeColor="accent1" w:themeShade="80"/>
                  <w:sz w:val="32"/>
                  <w:szCs w:val="32"/>
                  <w:lang w:eastAsia="el-GR"/>
                </w:rPr>
              </w:sdtEndPr>
              <w:sdtContent>
                <w:tc>
                  <w:tcPr>
                    <w:tcW w:w="5000" w:type="pct"/>
                  </w:tcPr>
                  <w:p w:rsidR="00105702" w:rsidRDefault="00DA64EC" w:rsidP="00BE1D4A">
                    <w:pPr>
                      <w:pStyle w:val="a6"/>
                      <w:spacing w:after="120"/>
                      <w:jc w:val="center"/>
                      <w:rPr>
                        <w:rFonts w:asciiTheme="majorHAnsi" w:eastAsiaTheme="majorEastAsia" w:hAnsiTheme="majorHAnsi" w:cstheme="majorBidi"/>
                        <w:caps/>
                      </w:rPr>
                    </w:pPr>
                    <w:r w:rsidRPr="006B5D17">
                      <w:rPr>
                        <w:rFonts w:asciiTheme="majorHAnsi" w:eastAsiaTheme="majorEastAsia" w:hAnsiTheme="majorHAnsi" w:cstheme="majorBidi"/>
                        <w:b/>
                        <w:i/>
                        <w:caps/>
                        <w:color w:val="244061" w:themeColor="accent1" w:themeShade="80"/>
                        <w:sz w:val="32"/>
                        <w:szCs w:val="32"/>
                        <w:lang w:eastAsia="en-US"/>
                      </w:rPr>
                      <w:t>υπουργειο αγροτικησ αναπτυξησ &amp; τροφιμων</w:t>
                    </w:r>
                  </w:p>
                </w:tc>
              </w:sdtContent>
            </w:sdt>
          </w:tr>
          <w:tr w:rsidR="00105702" w:rsidTr="00D0423E">
            <w:trPr>
              <w:trHeight w:val="3783"/>
              <w:jc w:val="center"/>
            </w:trPr>
            <w:tc>
              <w:tcPr>
                <w:tcW w:w="5000" w:type="pct"/>
              </w:tcPr>
              <w:p w:rsidR="00105702" w:rsidRDefault="001026DD" w:rsidP="00BE1D4A">
                <w:pPr>
                  <w:pStyle w:val="a6"/>
                  <w:spacing w:after="120"/>
                  <w:jc w:val="cente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1" allowOverlap="1" wp14:anchorId="4BFEE6AA" wp14:editId="0CE3EA24">
                          <wp:simplePos x="0" y="0"/>
                          <wp:positionH relativeFrom="column">
                            <wp:posOffset>792336</wp:posOffset>
                          </wp:positionH>
                          <wp:positionV relativeFrom="paragraph">
                            <wp:posOffset>-1499235</wp:posOffset>
                          </wp:positionV>
                          <wp:extent cx="4924425" cy="1009650"/>
                          <wp:effectExtent l="0" t="0" r="9525" b="0"/>
                          <wp:wrapNone/>
                          <wp:docPr id="1" name="Πλαίσιο κειμένου 1"/>
                          <wp:cNvGraphicFramePr/>
                          <a:graphic xmlns:a="http://schemas.openxmlformats.org/drawingml/2006/main">
                            <a:graphicData uri="http://schemas.microsoft.com/office/word/2010/wordprocessingShape">
                              <wps:wsp>
                                <wps:cNvSpPr txBox="1"/>
                                <wps:spPr>
                                  <a:xfrm>
                                    <a:off x="0" y="0"/>
                                    <a:ext cx="49244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60B" w:rsidRPr="00D0423E" w:rsidRDefault="00B5360B" w:rsidP="00105702">
                                      <w:pPr>
                                        <w:jc w:val="center"/>
                                        <w:rPr>
                                          <w:rFonts w:ascii="Cambria" w:hAnsi="Cambria"/>
                                          <w:b/>
                                          <w:color w:val="244061" w:themeColor="accent1" w:themeShade="80"/>
                                          <w:sz w:val="28"/>
                                          <w:szCs w:val="28"/>
                                        </w:rPr>
                                      </w:pPr>
                                      <w:r w:rsidRPr="00D0423E">
                                        <w:rPr>
                                          <w:rFonts w:ascii="Cambria" w:hAnsi="Cambria"/>
                                          <w:b/>
                                          <w:color w:val="244061" w:themeColor="accent1" w:themeShade="80"/>
                                          <w:sz w:val="28"/>
                                          <w:szCs w:val="28"/>
                                        </w:rPr>
                                        <w:t>ΓΕΝΙΚΗ ΓΡΑΜΜΑΤΕΙΑ ΑΓΡΟΤΙΚΗΣ ΠΟΛΙΤΙΚΗΣ &amp; ΔΙΑΧΕΙΡΙΣΗΣ ΚΟΙΝΟΤΙΚΩΝ ΠΟΡΩΝ</w:t>
                                      </w:r>
                                    </w:p>
                                    <w:p w:rsidR="00B5360B" w:rsidRPr="00D0423E" w:rsidRDefault="00B5360B" w:rsidP="00105702">
                                      <w:pPr>
                                        <w:jc w:val="center"/>
                                        <w:rPr>
                                          <w:rFonts w:ascii="Cambria" w:hAnsi="Cambria"/>
                                          <w:b/>
                                          <w:color w:val="244061" w:themeColor="accent1" w:themeShade="80"/>
                                          <w:sz w:val="28"/>
                                          <w:szCs w:val="28"/>
                                        </w:rPr>
                                      </w:pPr>
                                      <w:r w:rsidRPr="00D0423E">
                                        <w:rPr>
                                          <w:rFonts w:ascii="Cambria" w:hAnsi="Cambria"/>
                                          <w:b/>
                                          <w:color w:val="244061" w:themeColor="accent1" w:themeShade="80"/>
                                          <w:sz w:val="28"/>
                                          <w:szCs w:val="28"/>
                                        </w:rPr>
                                        <w:t>ΕΙΔΙΚΗ ΥΠΗΡΕΣΙΑ ΔΙΑΧΕΙΡΙΣΗΣ ΠΑΑ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62.4pt;margin-top:-118.05pt;width:387.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" fillcolor="white [3201]" stroked="f" strokeweight=".5pt">
                          <v:textbox>
                            <w:txbxContent>
                              <w:p w:rsidR="00B5360B" w:rsidRPr="00D0423E" w:rsidRDefault="00B5360B" w:rsidP="00105702">
                                <w:pPr>
                                  <w:jc w:val="center"/>
                                  <w:rPr>
                                    <w:rFonts w:ascii="Cambria" w:hAnsi="Cambria"/>
                                    <w:b/>
                                    <w:color w:val="244061" w:themeColor="accent1" w:themeShade="80"/>
                                    <w:sz w:val="28"/>
                                    <w:szCs w:val="28"/>
                                  </w:rPr>
                                </w:pPr>
                                <w:r w:rsidRPr="00D0423E">
                                  <w:rPr>
                                    <w:rFonts w:ascii="Cambria" w:hAnsi="Cambria"/>
                                    <w:b/>
                                    <w:color w:val="244061" w:themeColor="accent1" w:themeShade="80"/>
                                    <w:sz w:val="28"/>
                                    <w:szCs w:val="28"/>
                                  </w:rPr>
                                  <w:t>ΓΕΝΙΚΗ ΓΡΑΜΜΑΤΕΙΑ ΑΓΡΟΤΙΚΗΣ ΠΟΛΙΤΙΚΗΣ &amp; ΔΙΑΧΕΙΡΙΣΗΣ ΚΟΙΝΟΤΙΚΩΝ ΠΟΡΩΝ</w:t>
                                </w:r>
                              </w:p>
                              <w:p w:rsidR="00B5360B" w:rsidRPr="00D0423E" w:rsidRDefault="00B5360B" w:rsidP="00105702">
                                <w:pPr>
                                  <w:jc w:val="center"/>
                                  <w:rPr>
                                    <w:rFonts w:ascii="Cambria" w:hAnsi="Cambria"/>
                                    <w:b/>
                                    <w:color w:val="244061" w:themeColor="accent1" w:themeShade="80"/>
                                    <w:sz w:val="28"/>
                                    <w:szCs w:val="28"/>
                                  </w:rPr>
                                </w:pPr>
                                <w:r w:rsidRPr="00D0423E">
                                  <w:rPr>
                                    <w:rFonts w:ascii="Cambria" w:hAnsi="Cambria"/>
                                    <w:b/>
                                    <w:color w:val="244061" w:themeColor="accent1" w:themeShade="80"/>
                                    <w:sz w:val="28"/>
                                    <w:szCs w:val="28"/>
                                  </w:rPr>
                                  <w:t>ΕΙΔΙΚΗ ΥΠΗΡΕΣΙΑ ΔΙΑΧΕΙΡΙΣΗΣ ΠΑΑ</w:t>
                                </w:r>
                              </w:p>
                            </w:txbxContent>
                          </v:textbox>
                        </v:shape>
                      </w:pict>
                    </mc:Fallback>
                  </mc:AlternateContent>
                </w:r>
                <w:sdt>
                  <w:sdtPr>
                    <w:rPr>
                      <w:rFonts w:asciiTheme="majorHAnsi" w:eastAsiaTheme="majorEastAsia" w:hAnsiTheme="majorHAnsi" w:cstheme="majorBidi"/>
                      <w:color w:val="244061" w:themeColor="accent1" w:themeShade="80"/>
                      <w:sz w:val="80"/>
                      <w:szCs w:val="80"/>
                    </w:rPr>
                    <w:alias w:val="Τίτλος"/>
                    <w:id w:val="15524250"/>
                    <w:dataBinding w:prefixMappings="xmlns:ns0='http://schemas.openxmlformats.org/package/2006/metadata/core-properties' xmlns:ns1='http://purl.org/dc/elements/1.1/'" w:xpath="/ns0:coreProperties[1]/ns1:title[1]" w:storeItemID="{6C3C8BC8-F283-45AE-878A-BAB7291924A1}"/>
                    <w:text/>
                  </w:sdtPr>
                  <w:sdtEndPr/>
                  <w:sdtContent>
                    <w:r w:rsidR="00DA64EC">
                      <w:rPr>
                        <w:rFonts w:asciiTheme="majorHAnsi" w:eastAsiaTheme="majorEastAsia" w:hAnsiTheme="majorHAnsi" w:cstheme="majorBidi"/>
                        <w:color w:val="244061" w:themeColor="accent1" w:themeShade="80"/>
                        <w:sz w:val="80"/>
                        <w:szCs w:val="80"/>
                      </w:rPr>
                      <w:t>ΠΟΣΟΣΤΑ ΕΝΙΣΧΥΣΗΣ ΔΙΚΑΙΟΥΧΩΝ            ΚΡΑΤΙΚΕΣ ΕΝΙΣΧΥΣΕΙΣ</w:t>
                    </w:r>
                  </w:sdtContent>
                </w:sdt>
                <w:r w:rsidR="00D0423E">
                  <w:rPr>
                    <w:rFonts w:asciiTheme="majorHAnsi" w:eastAsiaTheme="majorEastAsia" w:hAnsiTheme="majorHAnsi" w:cstheme="majorBidi"/>
                    <w:caps/>
                    <w:noProof/>
                  </w:rPr>
                  <w:t xml:space="preserve"> </w:t>
                </w:r>
              </w:p>
            </w:tc>
          </w:tr>
          <w:tr w:rsidR="00105702" w:rsidTr="00D0423E">
            <w:trPr>
              <w:trHeight w:val="80"/>
              <w:jc w:val="center"/>
            </w:trPr>
            <w:tc>
              <w:tcPr>
                <w:tcW w:w="5000" w:type="pct"/>
                <w:tcBorders>
                  <w:bottom w:val="single" w:sz="4" w:space="0" w:color="4F81BD" w:themeColor="accent1"/>
                </w:tcBorders>
                <w:vAlign w:val="center"/>
              </w:tcPr>
              <w:p w:rsidR="00105702" w:rsidRDefault="00105702" w:rsidP="00BE1D4A">
                <w:pPr>
                  <w:pStyle w:val="a6"/>
                  <w:spacing w:after="120"/>
                  <w:jc w:val="center"/>
                  <w:rPr>
                    <w:rFonts w:asciiTheme="majorHAnsi" w:eastAsiaTheme="majorEastAsia" w:hAnsiTheme="majorHAnsi" w:cstheme="majorBidi"/>
                    <w:sz w:val="80"/>
                    <w:szCs w:val="80"/>
                  </w:rPr>
                </w:pPr>
              </w:p>
            </w:tc>
          </w:tr>
          <w:tr w:rsidR="00105702" w:rsidTr="00D0423E">
            <w:trPr>
              <w:trHeight w:val="946"/>
              <w:jc w:val="center"/>
            </w:trPr>
            <w:sdt>
              <w:sdtPr>
                <w:rPr>
                  <w:rFonts w:asciiTheme="majorHAnsi" w:eastAsiaTheme="majorEastAsia" w:hAnsiTheme="majorHAnsi" w:cstheme="majorBidi"/>
                  <w:color w:val="244061" w:themeColor="accent1" w:themeShade="80"/>
                  <w:sz w:val="44"/>
                  <w:szCs w:val="44"/>
                </w:rPr>
                <w:alias w:val="Υπότιτλο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05702" w:rsidRDefault="00DA64EC" w:rsidP="00BE1D4A">
                    <w:pPr>
                      <w:pStyle w:val="a6"/>
                      <w:spacing w:after="120"/>
                      <w:jc w:val="center"/>
                      <w:rPr>
                        <w:rFonts w:asciiTheme="majorHAnsi" w:eastAsiaTheme="majorEastAsia" w:hAnsiTheme="majorHAnsi" w:cstheme="majorBidi"/>
                        <w:sz w:val="44"/>
                        <w:szCs w:val="44"/>
                      </w:rPr>
                    </w:pPr>
                    <w:r>
                      <w:rPr>
                        <w:rFonts w:asciiTheme="majorHAnsi" w:eastAsiaTheme="majorEastAsia" w:hAnsiTheme="majorHAnsi" w:cstheme="majorBidi"/>
                        <w:color w:val="244061" w:themeColor="accent1" w:themeShade="80"/>
                        <w:sz w:val="44"/>
                        <w:szCs w:val="44"/>
                      </w:rPr>
                      <w:t>Μ19.2:ΣΤΗΡΙΞΗ ΥΛΟΠΟΙΗΣΗΣ ΔΡΑΣΕΩΝ ΤΩΝ ΣΤΡΑΤΗΓΙΚΩΝ ΤΟΠΙΚΗΣ ΑΝΑΠΤΥΞΗΣ ΜΕ ΠΡΩΤΟΒΟΥΛΙΑ ΤΟΠΙΚΩΝ ΚΟΙΝΟΤΗΤΩΝ (CLLD/LEADER)</w:t>
                    </w:r>
                  </w:p>
                </w:tc>
              </w:sdtContent>
            </w:sdt>
          </w:tr>
          <w:tr w:rsidR="00105702" w:rsidTr="00D0423E">
            <w:trPr>
              <w:trHeight w:val="473"/>
              <w:jc w:val="center"/>
            </w:trPr>
            <w:tc>
              <w:tcPr>
                <w:tcW w:w="5000" w:type="pct"/>
                <w:vAlign w:val="center"/>
              </w:tcPr>
              <w:p w:rsidR="00105702" w:rsidRPr="002B2421" w:rsidRDefault="00105702" w:rsidP="00BE1D4A">
                <w:pPr>
                  <w:pStyle w:val="a6"/>
                  <w:spacing w:after="120"/>
                  <w:jc w:val="center"/>
                </w:pPr>
              </w:p>
              <w:p w:rsidR="00DC1F41" w:rsidRPr="002B2421" w:rsidRDefault="00DC1F41" w:rsidP="00BE1D4A">
                <w:pPr>
                  <w:pStyle w:val="a6"/>
                  <w:spacing w:after="120"/>
                  <w:jc w:val="center"/>
                </w:pPr>
              </w:p>
              <w:p w:rsidR="00DC1F41" w:rsidRPr="002B2421" w:rsidRDefault="00DC1F41" w:rsidP="00BE1D4A">
                <w:pPr>
                  <w:pStyle w:val="a6"/>
                  <w:spacing w:after="120"/>
                  <w:jc w:val="center"/>
                </w:pPr>
              </w:p>
              <w:p w:rsidR="00DC1F41" w:rsidRPr="002B2421" w:rsidRDefault="00DC1F41" w:rsidP="00BE1D4A">
                <w:pPr>
                  <w:pStyle w:val="a6"/>
                  <w:spacing w:after="120"/>
                  <w:jc w:val="center"/>
                </w:pPr>
              </w:p>
              <w:p w:rsidR="00DC1F41" w:rsidRPr="002B2421" w:rsidRDefault="00DC1F41" w:rsidP="00BE1D4A">
                <w:pPr>
                  <w:pStyle w:val="a6"/>
                  <w:spacing w:after="120"/>
                  <w:jc w:val="center"/>
                </w:pPr>
              </w:p>
              <w:p w:rsidR="00DC1F41" w:rsidRPr="002B2421" w:rsidRDefault="00DC1F41" w:rsidP="00BE1D4A">
                <w:pPr>
                  <w:pStyle w:val="a6"/>
                  <w:spacing w:after="120"/>
                  <w:jc w:val="center"/>
                </w:pPr>
              </w:p>
            </w:tc>
          </w:tr>
          <w:tr w:rsidR="00105702" w:rsidTr="00D0423E">
            <w:trPr>
              <w:trHeight w:val="473"/>
              <w:jc w:val="center"/>
            </w:trPr>
            <w:sdt>
              <w:sdtPr>
                <w:rPr>
                  <w:rFonts w:ascii="Cambria" w:hAnsi="Cambria"/>
                  <w:b/>
                  <w:bCs/>
                  <w:color w:val="244061" w:themeColor="accent1" w:themeShade="80"/>
                  <w:sz w:val="24"/>
                  <w:szCs w:val="24"/>
                </w:rPr>
                <w:alias w:val="Συντάκτης"/>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05702" w:rsidRPr="00D0423E" w:rsidRDefault="00105702" w:rsidP="00BE1D4A">
                    <w:pPr>
                      <w:pStyle w:val="a6"/>
                      <w:spacing w:after="120"/>
                      <w:jc w:val="center"/>
                      <w:rPr>
                        <w:b/>
                        <w:bCs/>
                        <w:sz w:val="24"/>
                        <w:szCs w:val="24"/>
                      </w:rPr>
                    </w:pPr>
                    <w:r w:rsidRPr="00D0423E">
                      <w:rPr>
                        <w:rFonts w:ascii="Cambria" w:hAnsi="Cambria"/>
                        <w:b/>
                        <w:bCs/>
                        <w:color w:val="244061" w:themeColor="accent1" w:themeShade="80"/>
                        <w:sz w:val="24"/>
                        <w:szCs w:val="24"/>
                      </w:rPr>
                      <w:t>ΜΟΝΑΔΑ ΠΡΟΓΡΑΜΜΑΤΙΣΜΟΥ &amp; ΑΞΙΟΛΟΓΗΣΗΣ</w:t>
                    </w:r>
                  </w:p>
                </w:tc>
              </w:sdtContent>
            </w:sdt>
          </w:tr>
          <w:tr w:rsidR="00105702" w:rsidTr="00D0423E">
            <w:trPr>
              <w:trHeight w:val="473"/>
              <w:jc w:val="center"/>
            </w:trPr>
            <w:sdt>
              <w:sdtPr>
                <w:rPr>
                  <w:rFonts w:ascii="Cambria" w:hAnsi="Cambria"/>
                  <w:b/>
                  <w:bCs/>
                  <w:color w:val="244061" w:themeColor="accent1" w:themeShade="80"/>
                  <w:sz w:val="24"/>
                  <w:szCs w:val="24"/>
                </w:rPr>
                <w:alias w:val="Ημερομηνία"/>
                <w:id w:val="516659546"/>
                <w:dataBinding w:prefixMappings="xmlns:ns0='http://schemas.microsoft.com/office/2006/coverPageProps'" w:xpath="/ns0:CoverPageProperties[1]/ns0:PublishDate[1]" w:storeItemID="{55AF091B-3C7A-41E3-B477-F2FDAA23CFDA}"/>
                <w:date>
                  <w:dateFormat w:val="d/M/yyyy"/>
                  <w:lid w:val="el-GR"/>
                  <w:storeMappedDataAs w:val="dateTime"/>
                  <w:calendar w:val="gregorian"/>
                </w:date>
              </w:sdtPr>
              <w:sdtEndPr/>
              <w:sdtContent>
                <w:tc>
                  <w:tcPr>
                    <w:tcW w:w="5000" w:type="pct"/>
                    <w:vAlign w:val="center"/>
                  </w:tcPr>
                  <w:p w:rsidR="00105702" w:rsidRPr="00D0423E" w:rsidRDefault="00105702" w:rsidP="00BE1D4A">
                    <w:pPr>
                      <w:pStyle w:val="a6"/>
                      <w:spacing w:after="120"/>
                      <w:jc w:val="center"/>
                      <w:rPr>
                        <w:b/>
                        <w:bCs/>
                        <w:sz w:val="24"/>
                        <w:szCs w:val="24"/>
                      </w:rPr>
                    </w:pPr>
                    <w:r w:rsidRPr="00D0423E">
                      <w:rPr>
                        <w:rFonts w:ascii="Cambria" w:hAnsi="Cambria"/>
                        <w:b/>
                        <w:bCs/>
                        <w:color w:val="244061" w:themeColor="accent1" w:themeShade="80"/>
                        <w:sz w:val="24"/>
                        <w:szCs w:val="24"/>
                      </w:rPr>
                      <w:t>ΜΑΪΟΣ 2016</w:t>
                    </w:r>
                  </w:p>
                </w:tc>
              </w:sdtContent>
            </w:sdt>
          </w:tr>
        </w:tbl>
        <w:p w:rsidR="00105702" w:rsidRPr="0051769B" w:rsidRDefault="0021513A" w:rsidP="00BE1D4A">
          <w:pPr>
            <w:spacing w:after="120" w:line="240" w:lineRule="auto"/>
            <w:rPr>
              <w:rFonts w:asciiTheme="majorHAnsi" w:eastAsiaTheme="majorEastAsia" w:hAnsiTheme="majorHAnsi" w:cstheme="majorBidi"/>
              <w:color w:val="17365D" w:themeColor="text2" w:themeShade="BF"/>
              <w:spacing w:val="5"/>
              <w:kern w:val="28"/>
              <w:sz w:val="16"/>
              <w:szCs w:val="16"/>
              <w:lang w:eastAsia="el-GR"/>
            </w:rPr>
          </w:pPr>
        </w:p>
      </w:sdtContent>
    </w:sdt>
    <w:sdt>
      <w:sdtPr>
        <w:rPr>
          <w:rFonts w:asciiTheme="minorHAnsi" w:eastAsiaTheme="minorHAnsi" w:hAnsiTheme="minorHAnsi" w:cstheme="minorBidi"/>
          <w:b w:val="0"/>
          <w:bCs w:val="0"/>
          <w:color w:val="auto"/>
          <w:sz w:val="22"/>
          <w:szCs w:val="22"/>
          <w:lang w:eastAsia="en-US"/>
        </w:rPr>
        <w:id w:val="1135609977"/>
        <w:docPartObj>
          <w:docPartGallery w:val="Table of Contents"/>
          <w:docPartUnique/>
        </w:docPartObj>
      </w:sdtPr>
      <w:sdtEndPr>
        <w:rPr>
          <w:rFonts w:ascii="Cambria" w:hAnsi="Cambria"/>
          <w:color w:val="244061" w:themeColor="accent1" w:themeShade="80"/>
          <w:sz w:val="24"/>
          <w:szCs w:val="24"/>
        </w:rPr>
      </w:sdtEndPr>
      <w:sdtContent>
        <w:p w:rsidR="00D0423E" w:rsidRDefault="00D0423E" w:rsidP="00BE1D4A">
          <w:pPr>
            <w:pStyle w:val="a7"/>
            <w:spacing w:before="0" w:after="120" w:line="240" w:lineRule="auto"/>
          </w:pPr>
          <w:r>
            <w:t>Περιεχόμενα</w:t>
          </w:r>
        </w:p>
        <w:p w:rsidR="008837AE" w:rsidRDefault="00D0423E">
          <w:pPr>
            <w:pStyle w:val="10"/>
            <w:tabs>
              <w:tab w:val="right" w:leader="dot" w:pos="9736"/>
            </w:tabs>
            <w:rPr>
              <w:rFonts w:eastAsiaTheme="minorEastAsia"/>
              <w:noProof/>
              <w:lang w:eastAsia="el-GR"/>
            </w:rPr>
          </w:pPr>
          <w:r w:rsidRPr="00D0423E">
            <w:rPr>
              <w:rFonts w:ascii="Cambria" w:hAnsi="Cambria"/>
              <w:color w:val="244061" w:themeColor="accent1" w:themeShade="80"/>
              <w:sz w:val="24"/>
              <w:szCs w:val="24"/>
            </w:rPr>
            <w:fldChar w:fldCharType="begin"/>
          </w:r>
          <w:r w:rsidRPr="00D0423E">
            <w:rPr>
              <w:rFonts w:ascii="Cambria" w:hAnsi="Cambria"/>
              <w:color w:val="244061" w:themeColor="accent1" w:themeShade="80"/>
              <w:sz w:val="24"/>
              <w:szCs w:val="24"/>
            </w:rPr>
            <w:instrText xml:space="preserve"> TOC \o "1-3" \h \z \u </w:instrText>
          </w:r>
          <w:r w:rsidRPr="00D0423E">
            <w:rPr>
              <w:rFonts w:ascii="Cambria" w:hAnsi="Cambria"/>
              <w:color w:val="244061" w:themeColor="accent1" w:themeShade="80"/>
              <w:sz w:val="24"/>
              <w:szCs w:val="24"/>
            </w:rPr>
            <w:fldChar w:fldCharType="separate"/>
          </w:r>
          <w:hyperlink w:anchor="_Toc450909662" w:history="1">
            <w:r w:rsidR="008837AE" w:rsidRPr="00B93A14">
              <w:rPr>
                <w:rStyle w:val="-"/>
                <w:noProof/>
              </w:rPr>
              <w:t>ΕΙΣΑΓΩΓΗ</w:t>
            </w:r>
            <w:r w:rsidR="008837AE">
              <w:rPr>
                <w:noProof/>
                <w:webHidden/>
              </w:rPr>
              <w:tab/>
            </w:r>
            <w:r w:rsidR="008837AE">
              <w:rPr>
                <w:noProof/>
                <w:webHidden/>
              </w:rPr>
              <w:fldChar w:fldCharType="begin"/>
            </w:r>
            <w:r w:rsidR="008837AE">
              <w:rPr>
                <w:noProof/>
                <w:webHidden/>
              </w:rPr>
              <w:instrText xml:space="preserve"> PAGEREF _Toc450909662 \h </w:instrText>
            </w:r>
            <w:r w:rsidR="008837AE">
              <w:rPr>
                <w:noProof/>
                <w:webHidden/>
              </w:rPr>
            </w:r>
            <w:r w:rsidR="008837AE">
              <w:rPr>
                <w:noProof/>
                <w:webHidden/>
              </w:rPr>
              <w:fldChar w:fldCharType="separate"/>
            </w:r>
            <w:r w:rsidR="008837AE">
              <w:rPr>
                <w:noProof/>
                <w:webHidden/>
              </w:rPr>
              <w:t>3</w:t>
            </w:r>
            <w:r w:rsidR="008837AE">
              <w:rPr>
                <w:noProof/>
                <w:webHidden/>
              </w:rPr>
              <w:fldChar w:fldCharType="end"/>
            </w:r>
          </w:hyperlink>
        </w:p>
        <w:p w:rsidR="008837AE" w:rsidRDefault="008837AE">
          <w:pPr>
            <w:pStyle w:val="20"/>
            <w:rPr>
              <w:rFonts w:eastAsiaTheme="minorEastAsia"/>
              <w:noProof/>
              <w:lang w:eastAsia="el-GR"/>
            </w:rPr>
          </w:pPr>
          <w:hyperlink w:anchor="_Toc450909663" w:history="1">
            <w:r w:rsidRPr="00B93A14">
              <w:rPr>
                <w:rStyle w:val="-"/>
                <w:noProof/>
              </w:rPr>
              <w:t>Τι είναι κρατική ενίσχυση?</w:t>
            </w:r>
            <w:r>
              <w:rPr>
                <w:noProof/>
                <w:webHidden/>
              </w:rPr>
              <w:tab/>
            </w:r>
            <w:r>
              <w:rPr>
                <w:noProof/>
                <w:webHidden/>
              </w:rPr>
              <w:fldChar w:fldCharType="begin"/>
            </w:r>
            <w:r>
              <w:rPr>
                <w:noProof/>
                <w:webHidden/>
              </w:rPr>
              <w:instrText xml:space="preserve"> PAGEREF _Toc450909663 \h </w:instrText>
            </w:r>
            <w:r>
              <w:rPr>
                <w:noProof/>
                <w:webHidden/>
              </w:rPr>
            </w:r>
            <w:r>
              <w:rPr>
                <w:noProof/>
                <w:webHidden/>
              </w:rPr>
              <w:fldChar w:fldCharType="separate"/>
            </w:r>
            <w:r>
              <w:rPr>
                <w:noProof/>
                <w:webHidden/>
              </w:rPr>
              <w:t>3</w:t>
            </w:r>
            <w:r>
              <w:rPr>
                <w:noProof/>
                <w:webHidden/>
              </w:rPr>
              <w:fldChar w:fldCharType="end"/>
            </w:r>
          </w:hyperlink>
        </w:p>
        <w:p w:rsidR="008837AE" w:rsidRDefault="008837AE">
          <w:pPr>
            <w:pStyle w:val="20"/>
            <w:rPr>
              <w:rFonts w:eastAsiaTheme="minorEastAsia"/>
              <w:noProof/>
              <w:lang w:eastAsia="el-GR"/>
            </w:rPr>
          </w:pPr>
          <w:hyperlink w:anchor="_Toc450909664" w:history="1">
            <w:r w:rsidRPr="00B93A14">
              <w:rPr>
                <w:rStyle w:val="-"/>
                <w:noProof/>
              </w:rPr>
              <w:t>Γιατί είναι σημαντική η γνώση περί κρατικών ενισχύσεων?</w:t>
            </w:r>
            <w:r>
              <w:rPr>
                <w:noProof/>
                <w:webHidden/>
              </w:rPr>
              <w:tab/>
            </w:r>
            <w:r>
              <w:rPr>
                <w:noProof/>
                <w:webHidden/>
              </w:rPr>
              <w:fldChar w:fldCharType="begin"/>
            </w:r>
            <w:r>
              <w:rPr>
                <w:noProof/>
                <w:webHidden/>
              </w:rPr>
              <w:instrText xml:space="preserve"> PAGEREF _Toc450909664 \h </w:instrText>
            </w:r>
            <w:r>
              <w:rPr>
                <w:noProof/>
                <w:webHidden/>
              </w:rPr>
            </w:r>
            <w:r>
              <w:rPr>
                <w:noProof/>
                <w:webHidden/>
              </w:rPr>
              <w:fldChar w:fldCharType="separate"/>
            </w:r>
            <w:r>
              <w:rPr>
                <w:noProof/>
                <w:webHidden/>
              </w:rPr>
              <w:t>3</w:t>
            </w:r>
            <w:r>
              <w:rPr>
                <w:noProof/>
                <w:webHidden/>
              </w:rPr>
              <w:fldChar w:fldCharType="end"/>
            </w:r>
          </w:hyperlink>
        </w:p>
        <w:p w:rsidR="008837AE" w:rsidRDefault="008837AE">
          <w:pPr>
            <w:pStyle w:val="20"/>
            <w:rPr>
              <w:rFonts w:eastAsiaTheme="minorEastAsia"/>
              <w:noProof/>
              <w:lang w:eastAsia="el-GR"/>
            </w:rPr>
          </w:pPr>
          <w:hyperlink w:anchor="_Toc450909665" w:history="1">
            <w:r w:rsidRPr="00B93A14">
              <w:rPr>
                <w:rStyle w:val="-"/>
                <w:noProof/>
              </w:rPr>
              <w:t>Πως μπορεί να χορηγηθούν νόμιμα κρατικές ενισχύσεις?</w:t>
            </w:r>
            <w:r>
              <w:rPr>
                <w:noProof/>
                <w:webHidden/>
              </w:rPr>
              <w:tab/>
            </w:r>
            <w:r>
              <w:rPr>
                <w:noProof/>
                <w:webHidden/>
              </w:rPr>
              <w:fldChar w:fldCharType="begin"/>
            </w:r>
            <w:r>
              <w:rPr>
                <w:noProof/>
                <w:webHidden/>
              </w:rPr>
              <w:instrText xml:space="preserve"> PAGEREF _Toc450909665 \h </w:instrText>
            </w:r>
            <w:r>
              <w:rPr>
                <w:noProof/>
                <w:webHidden/>
              </w:rPr>
            </w:r>
            <w:r>
              <w:rPr>
                <w:noProof/>
                <w:webHidden/>
              </w:rPr>
              <w:fldChar w:fldCharType="separate"/>
            </w:r>
            <w:r>
              <w:rPr>
                <w:noProof/>
                <w:webHidden/>
              </w:rPr>
              <w:t>3</w:t>
            </w:r>
            <w:r>
              <w:rPr>
                <w:noProof/>
                <w:webHidden/>
              </w:rPr>
              <w:fldChar w:fldCharType="end"/>
            </w:r>
          </w:hyperlink>
        </w:p>
        <w:p w:rsidR="008837AE" w:rsidRDefault="008837AE">
          <w:pPr>
            <w:pStyle w:val="20"/>
            <w:rPr>
              <w:rFonts w:eastAsiaTheme="minorEastAsia"/>
              <w:noProof/>
              <w:lang w:eastAsia="el-GR"/>
            </w:rPr>
          </w:pPr>
          <w:hyperlink w:anchor="_Toc450909666" w:history="1">
            <w:r w:rsidRPr="00B93A14">
              <w:rPr>
                <w:rStyle w:val="-"/>
                <w:noProof/>
              </w:rPr>
              <w:t>Τι πρέπει να κάνει μια ΟΤΔ εφόσον θεωρηθεί ότι μια δράση υπόκειται στους κανόνες κρατικών ενισχύσεων?</w:t>
            </w:r>
            <w:r>
              <w:rPr>
                <w:noProof/>
                <w:webHidden/>
              </w:rPr>
              <w:tab/>
            </w:r>
            <w:r>
              <w:rPr>
                <w:noProof/>
                <w:webHidden/>
              </w:rPr>
              <w:fldChar w:fldCharType="begin"/>
            </w:r>
            <w:r>
              <w:rPr>
                <w:noProof/>
                <w:webHidden/>
              </w:rPr>
              <w:instrText xml:space="preserve"> PAGEREF _Toc450909666 \h </w:instrText>
            </w:r>
            <w:r>
              <w:rPr>
                <w:noProof/>
                <w:webHidden/>
              </w:rPr>
            </w:r>
            <w:r>
              <w:rPr>
                <w:noProof/>
                <w:webHidden/>
              </w:rPr>
              <w:fldChar w:fldCharType="separate"/>
            </w:r>
            <w:r>
              <w:rPr>
                <w:noProof/>
                <w:webHidden/>
              </w:rPr>
              <w:t>4</w:t>
            </w:r>
            <w:r>
              <w:rPr>
                <w:noProof/>
                <w:webHidden/>
              </w:rPr>
              <w:fldChar w:fldCharType="end"/>
            </w:r>
          </w:hyperlink>
        </w:p>
        <w:p w:rsidR="008837AE" w:rsidRDefault="008837AE">
          <w:pPr>
            <w:pStyle w:val="20"/>
            <w:rPr>
              <w:rFonts w:eastAsiaTheme="minorEastAsia"/>
              <w:noProof/>
              <w:lang w:eastAsia="el-GR"/>
            </w:rPr>
          </w:pPr>
          <w:hyperlink w:anchor="_Toc450909667" w:history="1">
            <w:r w:rsidRPr="00B93A14">
              <w:rPr>
                <w:rStyle w:val="-"/>
                <w:noProof/>
              </w:rPr>
              <w:t>Μπορεί μια ΟΤΔ να υλοποιήσει έργα τα οποία δεν έχουν σχέση με την παραγωγή και εμπορία των γεωργικών προϊόντων και δεν πληρούν τις προϋποθέσεις για να εμπίπτουν στο γενικό κανονισμό ήσσονος σημασίας (de minimis) και το γενικό απαλλακτικό κανονισμό απαλλαγής κατά κατηγορία? Αν ναι θα πρέπει να κονιοποιείται ξεχωριστά κάθε έργο ή μπορεί να ομαδοποιηθούν αυτά στο πλαίσιο ενός συγκεκριμένου συστήματος ενισχύσεων έτσι ώστε να κοινοποιείται μόνο το σύστημα στην Ευρωπαϊκή Επιτροπή?</w:t>
            </w:r>
            <w:r>
              <w:rPr>
                <w:noProof/>
                <w:webHidden/>
              </w:rPr>
              <w:tab/>
            </w:r>
            <w:r>
              <w:rPr>
                <w:noProof/>
                <w:webHidden/>
              </w:rPr>
              <w:fldChar w:fldCharType="begin"/>
            </w:r>
            <w:r>
              <w:rPr>
                <w:noProof/>
                <w:webHidden/>
              </w:rPr>
              <w:instrText xml:space="preserve"> PAGEREF _Toc450909667 \h </w:instrText>
            </w:r>
            <w:r>
              <w:rPr>
                <w:noProof/>
                <w:webHidden/>
              </w:rPr>
            </w:r>
            <w:r>
              <w:rPr>
                <w:noProof/>
                <w:webHidden/>
              </w:rPr>
              <w:fldChar w:fldCharType="separate"/>
            </w:r>
            <w:r>
              <w:rPr>
                <w:noProof/>
                <w:webHidden/>
              </w:rPr>
              <w:t>5</w:t>
            </w:r>
            <w:r>
              <w:rPr>
                <w:noProof/>
                <w:webHidden/>
              </w:rPr>
              <w:fldChar w:fldCharType="end"/>
            </w:r>
          </w:hyperlink>
        </w:p>
        <w:p w:rsidR="008837AE" w:rsidRDefault="008837AE">
          <w:pPr>
            <w:pStyle w:val="20"/>
            <w:rPr>
              <w:rFonts w:eastAsiaTheme="minorEastAsia"/>
              <w:noProof/>
              <w:lang w:eastAsia="el-GR"/>
            </w:rPr>
          </w:pPr>
          <w:hyperlink w:anchor="_Toc450909668" w:history="1">
            <w:r w:rsidRPr="00B93A14">
              <w:rPr>
                <w:rStyle w:val="-"/>
                <w:noProof/>
              </w:rPr>
              <w:t>Γενικά σημεία που πρέπει να έχετε υπόψη σας…</w:t>
            </w:r>
            <w:r>
              <w:rPr>
                <w:noProof/>
                <w:webHidden/>
              </w:rPr>
              <w:tab/>
            </w:r>
            <w:r>
              <w:rPr>
                <w:noProof/>
                <w:webHidden/>
              </w:rPr>
              <w:fldChar w:fldCharType="begin"/>
            </w:r>
            <w:r>
              <w:rPr>
                <w:noProof/>
                <w:webHidden/>
              </w:rPr>
              <w:instrText xml:space="preserve"> PAGEREF _Toc450909668 \h </w:instrText>
            </w:r>
            <w:r>
              <w:rPr>
                <w:noProof/>
                <w:webHidden/>
              </w:rPr>
            </w:r>
            <w:r>
              <w:rPr>
                <w:noProof/>
                <w:webHidden/>
              </w:rPr>
              <w:fldChar w:fldCharType="separate"/>
            </w:r>
            <w:r>
              <w:rPr>
                <w:noProof/>
                <w:webHidden/>
              </w:rPr>
              <w:t>5</w:t>
            </w:r>
            <w:r>
              <w:rPr>
                <w:noProof/>
                <w:webHidden/>
              </w:rPr>
              <w:fldChar w:fldCharType="end"/>
            </w:r>
          </w:hyperlink>
        </w:p>
        <w:p w:rsidR="008837AE" w:rsidRDefault="008837AE">
          <w:pPr>
            <w:pStyle w:val="10"/>
            <w:tabs>
              <w:tab w:val="right" w:leader="dot" w:pos="9736"/>
            </w:tabs>
            <w:rPr>
              <w:rFonts w:eastAsiaTheme="minorEastAsia"/>
              <w:noProof/>
              <w:lang w:eastAsia="el-GR"/>
            </w:rPr>
          </w:pPr>
          <w:hyperlink w:anchor="_Toc450909669" w:history="1">
            <w:r w:rsidRPr="00B93A14">
              <w:rPr>
                <w:rStyle w:val="-"/>
                <w:noProof/>
              </w:rPr>
              <w:t>ΕΝΔΕΙΚΤΙΚΕΣ ΔΡΑΣΕΙΣ ΣΤΡΑΤΗΓΙΚΩΝ ΤΟΠΙΚΗΣ ΑΝΑΠΤΥΞΗΣ ΜΕ ΠΡΩΤΟΒΟΥΛΙΑ ΤΟΠΙΚΩΝ ΚΟΙΝΟΤΗΤΩΝ &amp; ΑΝΤΙΣΤΟΙΧΑ ΠΟΣΟΣΤΑ ΕΝΙΣΧΥΣΗΣ ΔΙΚΑΙΟΥΧΩΝ</w:t>
            </w:r>
            <w:r>
              <w:rPr>
                <w:noProof/>
                <w:webHidden/>
              </w:rPr>
              <w:tab/>
            </w:r>
            <w:r>
              <w:rPr>
                <w:noProof/>
                <w:webHidden/>
              </w:rPr>
              <w:fldChar w:fldCharType="begin"/>
            </w:r>
            <w:r>
              <w:rPr>
                <w:noProof/>
                <w:webHidden/>
              </w:rPr>
              <w:instrText xml:space="preserve"> PAGEREF _Toc450909669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20"/>
            <w:rPr>
              <w:rFonts w:eastAsiaTheme="minorEastAsia"/>
              <w:noProof/>
              <w:lang w:eastAsia="el-GR"/>
            </w:rPr>
          </w:pPr>
          <w:hyperlink w:anchor="_Toc450909670" w:history="1">
            <w:r w:rsidRPr="00B93A14">
              <w:rPr>
                <w:rStyle w:val="-"/>
                <w:noProof/>
              </w:rPr>
              <w:t>19.2.1: ΔΡΑΣΕΙΣ ΜΕΤΑΦΟΡΑΣ ΓΝΩΣΕΩΝ &amp; ΕΝΗΜΕΡΩΣΗΣ</w:t>
            </w:r>
            <w:r>
              <w:rPr>
                <w:noProof/>
                <w:webHidden/>
              </w:rPr>
              <w:tab/>
            </w:r>
            <w:r>
              <w:rPr>
                <w:noProof/>
                <w:webHidden/>
              </w:rPr>
              <w:fldChar w:fldCharType="begin"/>
            </w:r>
            <w:r>
              <w:rPr>
                <w:noProof/>
                <w:webHidden/>
              </w:rPr>
              <w:instrText xml:space="preserve"> PAGEREF _Toc450909670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1" w:history="1">
            <w:r w:rsidRPr="00B93A14">
              <w:rPr>
                <w:rStyle w:val="-"/>
                <w:noProof/>
              </w:rPr>
              <w:t>19.2.1.1: Στήριξη για δράσεις επαγγελματικής κατάρτισης &amp; απόκτησης δεξιοτήτων</w:t>
            </w:r>
            <w:r>
              <w:rPr>
                <w:noProof/>
                <w:webHidden/>
              </w:rPr>
              <w:tab/>
            </w:r>
            <w:r>
              <w:rPr>
                <w:noProof/>
                <w:webHidden/>
              </w:rPr>
              <w:fldChar w:fldCharType="begin"/>
            </w:r>
            <w:r>
              <w:rPr>
                <w:noProof/>
                <w:webHidden/>
              </w:rPr>
              <w:instrText xml:space="preserve"> PAGEREF _Toc450909671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2" w:history="1">
            <w:r w:rsidRPr="00B93A14">
              <w:rPr>
                <w:rStyle w:val="-"/>
                <w:noProof/>
              </w:rPr>
              <w:t>19.2.1.2: Στήριξη για δραστηριότητες επίδειξης &amp; δράσεις ενημέρωσης</w:t>
            </w:r>
            <w:r>
              <w:rPr>
                <w:noProof/>
                <w:webHidden/>
              </w:rPr>
              <w:tab/>
            </w:r>
            <w:r>
              <w:rPr>
                <w:noProof/>
                <w:webHidden/>
              </w:rPr>
              <w:fldChar w:fldCharType="begin"/>
            </w:r>
            <w:r>
              <w:rPr>
                <w:noProof/>
                <w:webHidden/>
              </w:rPr>
              <w:instrText xml:space="preserve"> PAGEREF _Toc450909672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3" w:history="1">
            <w:r w:rsidRPr="00B93A14">
              <w:rPr>
                <w:rStyle w:val="-"/>
                <w:noProof/>
              </w:rPr>
              <w:t>19.2.1.3: Στήριξη για βραχυπρόθεσμες ανταλλαγές για διαχείριση γεωργικών εκμεταλλεύσεων &amp; δασών καθώς και για επισκέψεις σε γεωργικές εκμεταλλεύσεις &amp; δάση</w:t>
            </w:r>
            <w:r>
              <w:rPr>
                <w:noProof/>
                <w:webHidden/>
              </w:rPr>
              <w:tab/>
            </w:r>
            <w:r>
              <w:rPr>
                <w:noProof/>
                <w:webHidden/>
              </w:rPr>
              <w:fldChar w:fldCharType="begin"/>
            </w:r>
            <w:r>
              <w:rPr>
                <w:noProof/>
                <w:webHidden/>
              </w:rPr>
              <w:instrText xml:space="preserve"> PAGEREF _Toc450909673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20"/>
            <w:rPr>
              <w:rFonts w:eastAsiaTheme="minorEastAsia"/>
              <w:noProof/>
              <w:lang w:eastAsia="el-GR"/>
            </w:rPr>
          </w:pPr>
          <w:hyperlink w:anchor="_Toc450909674" w:history="1">
            <w:r w:rsidRPr="00B93A14">
              <w:rPr>
                <w:rStyle w:val="-"/>
                <w:noProof/>
              </w:rPr>
              <w:t>19.2.2: ΣΤΗΡΙΞΗ ΓΙΑ ΕΠΕΝΔΥΣΕΙΣ ΣΤΗ ΜΕΤΑΠΟΙΗΣΗ ΕΜΠΟΡΙΑ ΚΑΙ/Ή ΑΝΑΠΤΥΞΗ ΓΕΩΡΓΙΚΩΝ ΠΡΟΪΟΝΤΩΝ</w:t>
            </w:r>
            <w:r>
              <w:rPr>
                <w:noProof/>
                <w:webHidden/>
              </w:rPr>
              <w:tab/>
            </w:r>
            <w:r>
              <w:rPr>
                <w:noProof/>
                <w:webHidden/>
              </w:rPr>
              <w:fldChar w:fldCharType="begin"/>
            </w:r>
            <w:r>
              <w:rPr>
                <w:noProof/>
                <w:webHidden/>
              </w:rPr>
              <w:instrText xml:space="preserve"> PAGEREF _Toc450909674 \h </w:instrText>
            </w:r>
            <w:r>
              <w:rPr>
                <w:noProof/>
                <w:webHidden/>
              </w:rPr>
            </w:r>
            <w:r>
              <w:rPr>
                <w:noProof/>
                <w:webHidden/>
              </w:rPr>
              <w:fldChar w:fldCharType="separate"/>
            </w:r>
            <w:r>
              <w:rPr>
                <w:noProof/>
                <w:webHidden/>
              </w:rPr>
              <w:t>7</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5" w:history="1">
            <w:r w:rsidRPr="00B93A14">
              <w:rPr>
                <w:rStyle w:val="-"/>
                <w:noProof/>
              </w:rPr>
              <w:t>19.2.2.2: Μεταποίηση, εμπορία και/ή ανάπτυξη γεωργικών προϊόντων με αποτέλεσμα μη γεωργικό προϊόν</w:t>
            </w:r>
            <w:r>
              <w:rPr>
                <w:noProof/>
                <w:webHidden/>
              </w:rPr>
              <w:tab/>
            </w:r>
            <w:r>
              <w:rPr>
                <w:noProof/>
                <w:webHidden/>
              </w:rPr>
              <w:fldChar w:fldCharType="begin"/>
            </w:r>
            <w:r>
              <w:rPr>
                <w:noProof/>
                <w:webHidden/>
              </w:rPr>
              <w:instrText xml:space="preserve"> PAGEREF _Toc450909675 \h </w:instrText>
            </w:r>
            <w:r>
              <w:rPr>
                <w:noProof/>
                <w:webHidden/>
              </w:rPr>
            </w:r>
            <w:r>
              <w:rPr>
                <w:noProof/>
                <w:webHidden/>
              </w:rPr>
              <w:fldChar w:fldCharType="separate"/>
            </w:r>
            <w:r>
              <w:rPr>
                <w:noProof/>
                <w:webHidden/>
              </w:rPr>
              <w:t>8</w:t>
            </w:r>
            <w:r>
              <w:rPr>
                <w:noProof/>
                <w:webHidden/>
              </w:rPr>
              <w:fldChar w:fldCharType="end"/>
            </w:r>
          </w:hyperlink>
        </w:p>
        <w:p w:rsidR="008837AE" w:rsidRDefault="008837AE">
          <w:pPr>
            <w:pStyle w:val="20"/>
            <w:rPr>
              <w:rFonts w:eastAsiaTheme="minorEastAsia"/>
              <w:noProof/>
              <w:lang w:eastAsia="el-GR"/>
            </w:rPr>
          </w:pPr>
          <w:hyperlink w:anchor="_Toc450909676" w:history="1">
            <w:r w:rsidRPr="00B93A14">
              <w:rPr>
                <w:rStyle w:val="-"/>
                <w:noProof/>
              </w:rPr>
              <w:t>19.2.3: ΥΠΟΔΟΜΕΣ ΠΟΥ ΣΧΕΤΙΖΟΝΤΑΙ ΜΕ ΤΗΝ ΑΝΑΠΤΥΞΗ, ΤΟΝ ΕΚΣΥΓΧΡΟΝΙΣΜΟ Η ΤΗΝ ΠΡΟΣΑΡΜΟΓΗ ΤΗΣ ΓΕΩΡΓΙΑΣ</w:t>
            </w:r>
            <w:r>
              <w:rPr>
                <w:noProof/>
                <w:webHidden/>
              </w:rPr>
              <w:tab/>
            </w:r>
            <w:r>
              <w:rPr>
                <w:noProof/>
                <w:webHidden/>
              </w:rPr>
              <w:fldChar w:fldCharType="begin"/>
            </w:r>
            <w:r>
              <w:rPr>
                <w:noProof/>
                <w:webHidden/>
              </w:rPr>
              <w:instrText xml:space="preserve"> PAGEREF _Toc450909676 \h </w:instrText>
            </w:r>
            <w:r>
              <w:rPr>
                <w:noProof/>
                <w:webHidden/>
              </w:rPr>
            </w:r>
            <w:r>
              <w:rPr>
                <w:noProof/>
                <w:webHidden/>
              </w:rPr>
              <w:fldChar w:fldCharType="separate"/>
            </w:r>
            <w:r>
              <w:rPr>
                <w:noProof/>
                <w:webHidden/>
              </w:rPr>
              <w:t>9</w:t>
            </w:r>
            <w:r>
              <w:rPr>
                <w:noProof/>
                <w:webHidden/>
              </w:rPr>
              <w:fldChar w:fldCharType="end"/>
            </w:r>
          </w:hyperlink>
        </w:p>
        <w:p w:rsidR="008837AE" w:rsidRDefault="008837AE">
          <w:pPr>
            <w:pStyle w:val="20"/>
            <w:rPr>
              <w:rFonts w:eastAsiaTheme="minorEastAsia"/>
              <w:noProof/>
              <w:lang w:eastAsia="el-GR"/>
            </w:rPr>
          </w:pPr>
          <w:hyperlink w:anchor="_Toc450909677" w:history="1">
            <w:r w:rsidRPr="00B93A14">
              <w:rPr>
                <w:rStyle w:val="-"/>
                <w:noProof/>
              </w:rPr>
              <w:t>19.2.4: ΑΝΑΠΤΥΞΗ ΕΠΙΧΕΙΡΗΣΕΩΝ ΣΤΙΣ ΑΓΡΟΤΙΚΕΣ ΠΕΡΙΟΧΕΣ</w:t>
            </w:r>
            <w:r>
              <w:rPr>
                <w:noProof/>
                <w:webHidden/>
              </w:rPr>
              <w:tab/>
            </w:r>
            <w:r>
              <w:rPr>
                <w:noProof/>
                <w:webHidden/>
              </w:rPr>
              <w:fldChar w:fldCharType="begin"/>
            </w:r>
            <w:r>
              <w:rPr>
                <w:noProof/>
                <w:webHidden/>
              </w:rPr>
              <w:instrText xml:space="preserve"> PAGEREF _Toc450909677 \h </w:instrText>
            </w:r>
            <w:r>
              <w:rPr>
                <w:noProof/>
                <w:webHidden/>
              </w:rPr>
            </w:r>
            <w:r>
              <w:rPr>
                <w:noProof/>
                <w:webHidden/>
              </w:rPr>
              <w:fldChar w:fldCharType="separate"/>
            </w:r>
            <w:r>
              <w:rPr>
                <w:noProof/>
                <w:webHidden/>
              </w:rPr>
              <w:t>9</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8" w:history="1">
            <w:r w:rsidRPr="00B93A14">
              <w:rPr>
                <w:rStyle w:val="-"/>
                <w:noProof/>
              </w:rPr>
              <w:t>19.2.4.1: Επενδύσεις για την ίδρυση/ δημιουργία μη γεωργικών δραστηριοτήτων</w:t>
            </w:r>
            <w:r>
              <w:rPr>
                <w:noProof/>
                <w:webHidden/>
              </w:rPr>
              <w:tab/>
            </w:r>
            <w:r>
              <w:rPr>
                <w:noProof/>
                <w:webHidden/>
              </w:rPr>
              <w:fldChar w:fldCharType="begin"/>
            </w:r>
            <w:r>
              <w:rPr>
                <w:noProof/>
                <w:webHidden/>
              </w:rPr>
              <w:instrText xml:space="preserve"> PAGEREF _Toc450909678 \h </w:instrText>
            </w:r>
            <w:r>
              <w:rPr>
                <w:noProof/>
                <w:webHidden/>
              </w:rPr>
            </w:r>
            <w:r>
              <w:rPr>
                <w:noProof/>
                <w:webHidden/>
              </w:rPr>
              <w:fldChar w:fldCharType="separate"/>
            </w:r>
            <w:r>
              <w:rPr>
                <w:noProof/>
                <w:webHidden/>
              </w:rPr>
              <w:t>9</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79" w:history="1">
            <w:r w:rsidRPr="00B93A14">
              <w:rPr>
                <w:rStyle w:val="-"/>
                <w:noProof/>
              </w:rPr>
              <w:t>19.2.4.2: Επενδύσεις για την ανάπτυξη/εκσυγχρονισμό μη γεωργικών δραστηριοτήτων</w:t>
            </w:r>
            <w:r>
              <w:rPr>
                <w:noProof/>
                <w:webHidden/>
              </w:rPr>
              <w:tab/>
            </w:r>
            <w:r>
              <w:rPr>
                <w:noProof/>
                <w:webHidden/>
              </w:rPr>
              <w:fldChar w:fldCharType="begin"/>
            </w:r>
            <w:r>
              <w:rPr>
                <w:noProof/>
                <w:webHidden/>
              </w:rPr>
              <w:instrText xml:space="preserve"> PAGEREF _Toc450909679 \h </w:instrText>
            </w:r>
            <w:r>
              <w:rPr>
                <w:noProof/>
                <w:webHidden/>
              </w:rPr>
            </w:r>
            <w:r>
              <w:rPr>
                <w:noProof/>
                <w:webHidden/>
              </w:rPr>
              <w:fldChar w:fldCharType="separate"/>
            </w:r>
            <w:r>
              <w:rPr>
                <w:noProof/>
                <w:webHidden/>
              </w:rPr>
              <w:t>9</w:t>
            </w:r>
            <w:r>
              <w:rPr>
                <w:noProof/>
                <w:webHidden/>
              </w:rPr>
              <w:fldChar w:fldCharType="end"/>
            </w:r>
          </w:hyperlink>
        </w:p>
        <w:p w:rsidR="008837AE" w:rsidRDefault="008837AE">
          <w:pPr>
            <w:pStyle w:val="20"/>
            <w:rPr>
              <w:rFonts w:eastAsiaTheme="minorEastAsia"/>
              <w:noProof/>
              <w:lang w:eastAsia="el-GR"/>
            </w:rPr>
          </w:pPr>
          <w:hyperlink w:anchor="_Toc450909680" w:history="1">
            <w:r w:rsidRPr="00B93A14">
              <w:rPr>
                <w:rStyle w:val="-"/>
                <w:noProof/>
              </w:rPr>
              <w:t>19.2.5: ΒΑΣΙΚΕΣ ΥΠΗΡΕΣΙΕΣ &amp; ΑΝΑΠΛΑΣΗ ΧΩΡΙΩΝ ΣΕ ΑΓΡΟΤΙΚΕΣ ΠΕΡΙΟΧΕΣ</w:t>
            </w:r>
            <w:r>
              <w:rPr>
                <w:noProof/>
                <w:webHidden/>
              </w:rPr>
              <w:tab/>
            </w:r>
            <w:r>
              <w:rPr>
                <w:noProof/>
                <w:webHidden/>
              </w:rPr>
              <w:fldChar w:fldCharType="begin"/>
            </w:r>
            <w:r>
              <w:rPr>
                <w:noProof/>
                <w:webHidden/>
              </w:rPr>
              <w:instrText xml:space="preserve"> PAGEREF _Toc450909680 \h </w:instrText>
            </w:r>
            <w:r>
              <w:rPr>
                <w:noProof/>
                <w:webHidden/>
              </w:rPr>
            </w:r>
            <w:r>
              <w:rPr>
                <w:noProof/>
                <w:webHidden/>
              </w:rPr>
              <w:fldChar w:fldCharType="separate"/>
            </w:r>
            <w:r>
              <w:rPr>
                <w:noProof/>
                <w:webHidden/>
              </w:rPr>
              <w:t>9</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1" w:history="1">
            <w:r w:rsidRPr="00B93A14">
              <w:rPr>
                <w:rStyle w:val="-"/>
                <w:noProof/>
              </w:rPr>
              <w:t>19.2.5.1: Στήριξη για υποδομές μικρής κλίμακας (πχ. ύδρευση, αποχέτευση, κ.λπ.), συμπεριλαμβανομένης της εξοικονόμησης ενέργειας σε χρησιμοποιούμενα δημόσια κτίρια</w:t>
            </w:r>
            <w:r>
              <w:rPr>
                <w:noProof/>
                <w:webHidden/>
              </w:rPr>
              <w:tab/>
            </w:r>
            <w:r>
              <w:rPr>
                <w:noProof/>
                <w:webHidden/>
              </w:rPr>
              <w:fldChar w:fldCharType="begin"/>
            </w:r>
            <w:r>
              <w:rPr>
                <w:noProof/>
                <w:webHidden/>
              </w:rPr>
              <w:instrText xml:space="preserve"> PAGEREF _Toc450909681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2" w:history="1">
            <w:r w:rsidRPr="00B93A14">
              <w:rPr>
                <w:rStyle w:val="-"/>
                <w:noProof/>
              </w:rPr>
              <w:t>19.2.5.2: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r>
              <w:rPr>
                <w:noProof/>
                <w:webHidden/>
              </w:rPr>
              <w:tab/>
            </w:r>
            <w:r>
              <w:rPr>
                <w:noProof/>
                <w:webHidden/>
              </w:rPr>
              <w:fldChar w:fldCharType="begin"/>
            </w:r>
            <w:r>
              <w:rPr>
                <w:noProof/>
                <w:webHidden/>
              </w:rPr>
              <w:instrText xml:space="preserve"> PAGEREF _Toc450909682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3" w:history="1">
            <w:r w:rsidRPr="00B93A14">
              <w:rPr>
                <w:rStyle w:val="-"/>
                <w:noProof/>
              </w:rPr>
              <w:t>19.2.5.3: Στήριξη για τη δημιουργία, βελτίωση ή επέκταση υπηρεσιών αναψυχής, καθώς και των σχετικών υποδομών</w:t>
            </w:r>
            <w:r>
              <w:rPr>
                <w:noProof/>
                <w:webHidden/>
              </w:rPr>
              <w:tab/>
            </w:r>
            <w:r>
              <w:rPr>
                <w:noProof/>
                <w:webHidden/>
              </w:rPr>
              <w:fldChar w:fldCharType="begin"/>
            </w:r>
            <w:r>
              <w:rPr>
                <w:noProof/>
                <w:webHidden/>
              </w:rPr>
              <w:instrText xml:space="preserve"> PAGEREF _Toc450909683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4" w:history="1">
            <w:r w:rsidRPr="00B93A14">
              <w:rPr>
                <w:rStyle w:val="-"/>
                <w:noProof/>
              </w:rPr>
              <w:t>19.2.5.4: Στήριξη για τη δημιουργία, βελτίωση ή επέκταση υπηρεσιών πολιτισμού, καθώς και των σχετικών υποδομών</w:t>
            </w:r>
            <w:r>
              <w:rPr>
                <w:noProof/>
                <w:webHidden/>
              </w:rPr>
              <w:tab/>
            </w:r>
            <w:r>
              <w:rPr>
                <w:noProof/>
                <w:webHidden/>
              </w:rPr>
              <w:fldChar w:fldCharType="begin"/>
            </w:r>
            <w:r>
              <w:rPr>
                <w:noProof/>
                <w:webHidden/>
              </w:rPr>
              <w:instrText xml:space="preserve"> PAGEREF _Toc450909684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5" w:history="1">
            <w:r w:rsidRPr="00B93A14">
              <w:rPr>
                <w:rStyle w:val="-"/>
                <w:noProof/>
              </w:rPr>
              <w:t>19.2.5.5: Στήριξη για επενδύσεις για δημόσια χρήση σε υποδομές αναψυχής, τουριστικές πληροφορίες και τουριστικές υποδομές μικρής κλίμακας</w:t>
            </w:r>
            <w:r>
              <w:rPr>
                <w:noProof/>
                <w:webHidden/>
              </w:rPr>
              <w:tab/>
            </w:r>
            <w:r>
              <w:rPr>
                <w:noProof/>
                <w:webHidden/>
              </w:rPr>
              <w:fldChar w:fldCharType="begin"/>
            </w:r>
            <w:r>
              <w:rPr>
                <w:noProof/>
                <w:webHidden/>
              </w:rPr>
              <w:instrText xml:space="preserve"> PAGEREF _Toc450909685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6" w:history="1">
            <w:r w:rsidRPr="00B93A14">
              <w:rPr>
                <w:rStyle w:val="-"/>
                <w:noProof/>
              </w:rPr>
              <w:t>19.2.5.6: Στήριξη για μελέτες και επενδύσεις, που συνδέονται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w:t>
            </w:r>
            <w:r>
              <w:rPr>
                <w:noProof/>
                <w:webHidden/>
              </w:rPr>
              <w:tab/>
            </w:r>
            <w:r>
              <w:rPr>
                <w:noProof/>
                <w:webHidden/>
              </w:rPr>
              <w:fldChar w:fldCharType="begin"/>
            </w:r>
            <w:r>
              <w:rPr>
                <w:noProof/>
                <w:webHidden/>
              </w:rPr>
              <w:instrText xml:space="preserve"> PAGEREF _Toc450909686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7" w:history="1">
            <w:r w:rsidRPr="00B93A14">
              <w:rPr>
                <w:rStyle w:val="-"/>
                <w:noProof/>
              </w:rPr>
              <w:t>19.2.5.7: 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r>
              <w:rPr>
                <w:noProof/>
                <w:webHidden/>
              </w:rPr>
              <w:tab/>
            </w:r>
            <w:r>
              <w:rPr>
                <w:noProof/>
                <w:webHidden/>
              </w:rPr>
              <w:fldChar w:fldCharType="begin"/>
            </w:r>
            <w:r>
              <w:rPr>
                <w:noProof/>
                <w:webHidden/>
              </w:rPr>
              <w:instrText xml:space="preserve"> PAGEREF _Toc450909687 \h </w:instrText>
            </w:r>
            <w:r>
              <w:rPr>
                <w:noProof/>
                <w:webHidden/>
              </w:rPr>
            </w:r>
            <w:r>
              <w:rPr>
                <w:noProof/>
                <w:webHidden/>
              </w:rPr>
              <w:fldChar w:fldCharType="separate"/>
            </w:r>
            <w:r>
              <w:rPr>
                <w:noProof/>
                <w:webHidden/>
              </w:rPr>
              <w:t>10</w:t>
            </w:r>
            <w:r>
              <w:rPr>
                <w:noProof/>
                <w:webHidden/>
              </w:rPr>
              <w:fldChar w:fldCharType="end"/>
            </w:r>
          </w:hyperlink>
        </w:p>
        <w:p w:rsidR="008837AE" w:rsidRDefault="008837AE">
          <w:pPr>
            <w:pStyle w:val="20"/>
            <w:rPr>
              <w:rFonts w:eastAsiaTheme="minorEastAsia"/>
              <w:noProof/>
              <w:lang w:eastAsia="el-GR"/>
            </w:rPr>
          </w:pPr>
          <w:hyperlink w:anchor="_Toc450909688" w:history="1">
            <w:r w:rsidRPr="00B93A14">
              <w:rPr>
                <w:rStyle w:val="-"/>
                <w:noProof/>
              </w:rPr>
              <w:t>19.2.6: ΕΠΕΝΔΥΣΕΙΣ ΣΤΗΝ ΑΝΑΠΤΥΞΗ ΔΑΣΙΚΩΝ ΠΕΡΙΟΧΩΝ ΚΑΙ ΣΤΗ ΒΕΛΤΙΩΣΗ ΤΗΣ ΒΙΩΣΙΜΟΤΗΤΑΣ ΤΩΝ ΔΑΣΩΝ</w:t>
            </w:r>
            <w:r>
              <w:rPr>
                <w:noProof/>
                <w:webHidden/>
              </w:rPr>
              <w:tab/>
            </w:r>
            <w:r>
              <w:rPr>
                <w:noProof/>
                <w:webHidden/>
              </w:rPr>
              <w:fldChar w:fldCharType="begin"/>
            </w:r>
            <w:r>
              <w:rPr>
                <w:noProof/>
                <w:webHidden/>
              </w:rPr>
              <w:instrText xml:space="preserve"> PAGEREF _Toc450909688 \h </w:instrText>
            </w:r>
            <w:r>
              <w:rPr>
                <w:noProof/>
                <w:webHidden/>
              </w:rPr>
            </w:r>
            <w:r>
              <w:rPr>
                <w:noProof/>
                <w:webHidden/>
              </w:rPr>
              <w:fldChar w:fldCharType="separate"/>
            </w:r>
            <w:r>
              <w:rPr>
                <w:noProof/>
                <w:webHidden/>
              </w:rPr>
              <w:t>11</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89" w:history="1">
            <w:r w:rsidRPr="00B93A14">
              <w:rPr>
                <w:rStyle w:val="-"/>
                <w:noProof/>
              </w:rPr>
              <w:t>19.2.6.1: Πρόληψη, αποκατάσταση δασών και δασικών εκτάσεων από πυρκαγιές και άλλες φυσικές καταστροφές και καταστροφικά συμβάντα</w:t>
            </w:r>
            <w:r>
              <w:rPr>
                <w:noProof/>
                <w:webHidden/>
              </w:rPr>
              <w:tab/>
            </w:r>
            <w:r>
              <w:rPr>
                <w:noProof/>
                <w:webHidden/>
              </w:rPr>
              <w:fldChar w:fldCharType="begin"/>
            </w:r>
            <w:r>
              <w:rPr>
                <w:noProof/>
                <w:webHidden/>
              </w:rPr>
              <w:instrText xml:space="preserve"> PAGEREF _Toc450909689 \h </w:instrText>
            </w:r>
            <w:r>
              <w:rPr>
                <w:noProof/>
                <w:webHidden/>
              </w:rPr>
            </w:r>
            <w:r>
              <w:rPr>
                <w:noProof/>
                <w:webHidden/>
              </w:rPr>
              <w:fldChar w:fldCharType="separate"/>
            </w:r>
            <w:r>
              <w:rPr>
                <w:noProof/>
                <w:webHidden/>
              </w:rPr>
              <w:t>11</w:t>
            </w:r>
            <w:r>
              <w:rPr>
                <w:noProof/>
                <w:webHidden/>
              </w:rPr>
              <w:fldChar w:fldCharType="end"/>
            </w:r>
          </w:hyperlink>
        </w:p>
        <w:p w:rsidR="008837AE" w:rsidRDefault="008837AE">
          <w:pPr>
            <w:pStyle w:val="30"/>
            <w:tabs>
              <w:tab w:val="right" w:leader="dot" w:pos="9736"/>
            </w:tabs>
            <w:rPr>
              <w:rFonts w:eastAsiaTheme="minorEastAsia"/>
              <w:noProof/>
              <w:lang w:eastAsia="el-GR"/>
            </w:rPr>
          </w:pPr>
          <w:hyperlink w:anchor="_Toc450909690" w:history="1">
            <w:r w:rsidRPr="00B93A14">
              <w:rPr>
                <w:rStyle w:val="-"/>
                <w:noProof/>
              </w:rPr>
              <w:t>19.2.6.2: Επενδύσεις σε δασοκομικές τεχνολογίες και στην επεξεργασία, κινητοποίηση και εμπορία δασικών προϊόντων</w:t>
            </w:r>
            <w:r>
              <w:rPr>
                <w:noProof/>
                <w:webHidden/>
              </w:rPr>
              <w:tab/>
            </w:r>
            <w:r>
              <w:rPr>
                <w:noProof/>
                <w:webHidden/>
              </w:rPr>
              <w:fldChar w:fldCharType="begin"/>
            </w:r>
            <w:r>
              <w:rPr>
                <w:noProof/>
                <w:webHidden/>
              </w:rPr>
              <w:instrText xml:space="preserve"> PAGEREF _Toc450909690 \h </w:instrText>
            </w:r>
            <w:r>
              <w:rPr>
                <w:noProof/>
                <w:webHidden/>
              </w:rPr>
            </w:r>
            <w:r>
              <w:rPr>
                <w:noProof/>
                <w:webHidden/>
              </w:rPr>
              <w:fldChar w:fldCharType="separate"/>
            </w:r>
            <w:r>
              <w:rPr>
                <w:noProof/>
                <w:webHidden/>
              </w:rPr>
              <w:t>11</w:t>
            </w:r>
            <w:r>
              <w:rPr>
                <w:noProof/>
                <w:webHidden/>
              </w:rPr>
              <w:fldChar w:fldCharType="end"/>
            </w:r>
          </w:hyperlink>
        </w:p>
        <w:p w:rsidR="008837AE" w:rsidRDefault="008837AE">
          <w:pPr>
            <w:pStyle w:val="20"/>
            <w:rPr>
              <w:rFonts w:eastAsiaTheme="minorEastAsia"/>
              <w:noProof/>
              <w:lang w:eastAsia="el-GR"/>
            </w:rPr>
          </w:pPr>
          <w:hyperlink w:anchor="_Toc450909691" w:history="1">
            <w:r w:rsidRPr="00B93A14">
              <w:rPr>
                <w:rStyle w:val="-"/>
                <w:noProof/>
              </w:rPr>
              <w:t>19.2.7: ΣΥΝΕΡΓΑΣΙΑ ΜΕΤΑΞΥ ΔΙΑΦΟΡΕΤΙΚΩΝ ΠΑΡΑΓΟΝΤΩΝ ΤΟΥ ΓΕΩΡΓΙΚΟΥ ΚΑΙ ΤΟΥ ΔΑΣΙΚΟΥ ΤΟΜΕΑ, ΤΗΣ ΑΛΥΣΙΔΑΣ ΤΡΟΦΙΜΩΝ &amp; ΑΛΛΩΝ ΠΟΥ ΣΥΜΒΑΛΛΟΥΝ ΣΤΗΝ ΕΠΙΤΕΥΞΗ ΤΩΝ ΣΤΟΧΩΝ ΚΑΙ ΤΩΝ ΠΡΟΤΕΡΑΙΟΤΗΤΩΝ ΤΗΣ ΠΟΛΙΤΙΚΗΣ ΑΓΡΟΤΙΚΗΣ ΑΝΑΠΤΥΞΗΣ ΚΑΘΩΣ ΚΑΙ ΔΗΜΙΟΥΡΓΙΑ ΣΥΜΠΛΕΓΜΑΤΩΝ ΦΟΡΕΩΝ (CLUSTERS)</w:t>
            </w:r>
            <w:r>
              <w:rPr>
                <w:noProof/>
                <w:webHidden/>
              </w:rPr>
              <w:tab/>
            </w:r>
            <w:r>
              <w:rPr>
                <w:noProof/>
                <w:webHidden/>
              </w:rPr>
              <w:fldChar w:fldCharType="begin"/>
            </w:r>
            <w:r>
              <w:rPr>
                <w:noProof/>
                <w:webHidden/>
              </w:rPr>
              <w:instrText xml:space="preserve"> PAGEREF _Toc450909691 \h </w:instrText>
            </w:r>
            <w:r>
              <w:rPr>
                <w:noProof/>
                <w:webHidden/>
              </w:rPr>
            </w:r>
            <w:r>
              <w:rPr>
                <w:noProof/>
                <w:webHidden/>
              </w:rPr>
              <w:fldChar w:fldCharType="separate"/>
            </w:r>
            <w:r>
              <w:rPr>
                <w:noProof/>
                <w:webHidden/>
              </w:rPr>
              <w:t>11</w:t>
            </w:r>
            <w:r>
              <w:rPr>
                <w:noProof/>
                <w:webHidden/>
              </w:rPr>
              <w:fldChar w:fldCharType="end"/>
            </w:r>
          </w:hyperlink>
        </w:p>
        <w:p w:rsidR="00D0423E" w:rsidRPr="00D0423E" w:rsidRDefault="00D0423E" w:rsidP="00BE1D4A">
          <w:pPr>
            <w:spacing w:after="120" w:line="240" w:lineRule="auto"/>
            <w:rPr>
              <w:rFonts w:ascii="Cambria" w:hAnsi="Cambria"/>
              <w:color w:val="244061" w:themeColor="accent1" w:themeShade="80"/>
              <w:sz w:val="24"/>
              <w:szCs w:val="24"/>
            </w:rPr>
          </w:pPr>
          <w:r w:rsidRPr="00D0423E">
            <w:rPr>
              <w:rFonts w:ascii="Cambria" w:hAnsi="Cambria"/>
              <w:b/>
              <w:bCs/>
              <w:color w:val="244061" w:themeColor="accent1" w:themeShade="80"/>
              <w:sz w:val="24"/>
              <w:szCs w:val="24"/>
            </w:rPr>
            <w:fldChar w:fldCharType="end"/>
          </w:r>
        </w:p>
      </w:sdtContent>
    </w:sdt>
    <w:p w:rsidR="00D0423E" w:rsidRPr="00D0423E" w:rsidRDefault="00D0423E" w:rsidP="00BE1D4A">
      <w:pPr>
        <w:spacing w:after="120" w:line="240" w:lineRule="auto"/>
        <w:rPr>
          <w:rFonts w:ascii="Cambria" w:eastAsiaTheme="majorEastAsia" w:hAnsi="Cambria" w:cstheme="majorBidi"/>
          <w:b/>
          <w:bCs/>
          <w:color w:val="244061" w:themeColor="accent1" w:themeShade="80"/>
          <w:sz w:val="24"/>
          <w:szCs w:val="24"/>
        </w:rPr>
      </w:pPr>
      <w:r w:rsidRPr="00D0423E">
        <w:rPr>
          <w:rFonts w:ascii="Cambria" w:hAnsi="Cambria"/>
          <w:color w:val="244061" w:themeColor="accent1" w:themeShade="80"/>
          <w:sz w:val="24"/>
          <w:szCs w:val="24"/>
        </w:rPr>
        <w:br w:type="page"/>
      </w:r>
    </w:p>
    <w:p w:rsidR="006B17D1" w:rsidRPr="00D0423E" w:rsidRDefault="00D0423E" w:rsidP="00BE1D4A">
      <w:pPr>
        <w:pStyle w:val="1"/>
        <w:spacing w:before="0" w:after="120" w:line="240" w:lineRule="auto"/>
      </w:pPr>
      <w:bookmarkStart w:id="0" w:name="_Toc450909662"/>
      <w:r w:rsidRPr="00D0423E">
        <w:lastRenderedPageBreak/>
        <w:t>ΕΙΣΑΓΩΓΗ</w:t>
      </w:r>
      <w:bookmarkEnd w:id="0"/>
    </w:p>
    <w:p w:rsidR="001026DD" w:rsidRDefault="001B653B"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Το παρόν ενημερωτικό εγχειρίδιο αναφέρει τα ποσοστά ενίσχυσης των δικαιούχων σε βασικές κατηγορίες δράσεων, που μπορεί να περιλαμβάνουν οι τοπικές στρατηγικές με την πρωτοβουλία τοπικών κοινοτήτων</w:t>
      </w:r>
      <w:r w:rsidR="001026DD">
        <w:rPr>
          <w:rFonts w:ascii="Cambria" w:hAnsi="Cambria"/>
          <w:color w:val="244061" w:themeColor="accent1" w:themeShade="80"/>
          <w:sz w:val="24"/>
          <w:szCs w:val="24"/>
        </w:rPr>
        <w:t>,</w:t>
      </w:r>
      <w:r>
        <w:rPr>
          <w:rFonts w:ascii="Cambria" w:hAnsi="Cambria"/>
          <w:color w:val="244061" w:themeColor="accent1" w:themeShade="80"/>
          <w:sz w:val="24"/>
          <w:szCs w:val="24"/>
        </w:rPr>
        <w:t xml:space="preserve"> στο πλαίσιο συγχρηματοδότησής τους από το Ευρωπαϊκό Γεωργικό Ταμείο Αγροτικής Ανάπτυξης</w:t>
      </w:r>
      <w:r w:rsidR="001026DD">
        <w:rPr>
          <w:rFonts w:ascii="Cambria" w:hAnsi="Cambria"/>
          <w:color w:val="244061" w:themeColor="accent1" w:themeShade="80"/>
          <w:sz w:val="24"/>
          <w:szCs w:val="24"/>
        </w:rPr>
        <w:t xml:space="preserve"> (ΕΓΤΑΑ)</w:t>
      </w:r>
      <w:r>
        <w:rPr>
          <w:rFonts w:ascii="Cambria" w:hAnsi="Cambria"/>
          <w:color w:val="244061" w:themeColor="accent1" w:themeShade="80"/>
          <w:sz w:val="24"/>
          <w:szCs w:val="24"/>
        </w:rPr>
        <w:t xml:space="preserve"> , μέσω του υπομέτρου 19.2 «Στήριξη υλοποίησης δράσεων των στρατηγικών τοπικής ανάπτυξης με πρωτοβουλία τοπικών κοινοτήτων». </w:t>
      </w:r>
    </w:p>
    <w:p w:rsidR="00D0423E" w:rsidRPr="00D0423E" w:rsidRDefault="001B653B"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Τα ανωτέρω περιγράφονται υπό το πρίσμα της έννοιας των «κρατικών ενισχύσεων»  και </w:t>
      </w:r>
      <w:r w:rsidR="001026DD">
        <w:rPr>
          <w:rFonts w:ascii="Cambria" w:hAnsi="Cambria"/>
          <w:color w:val="244061" w:themeColor="accent1" w:themeShade="80"/>
          <w:sz w:val="24"/>
          <w:szCs w:val="24"/>
        </w:rPr>
        <w:t xml:space="preserve">των κανονισμών βάσει των οποίων μπορεί να χορηγούνται </w:t>
      </w:r>
      <w:r w:rsidR="00BE4572">
        <w:rPr>
          <w:rFonts w:ascii="Cambria" w:hAnsi="Cambria"/>
          <w:color w:val="244061" w:themeColor="accent1" w:themeShade="80"/>
          <w:sz w:val="24"/>
          <w:szCs w:val="24"/>
        </w:rPr>
        <w:t xml:space="preserve">αυτές έτσι ώστε να μη θίγεται ο ανταγωνισμός. </w:t>
      </w:r>
    </w:p>
    <w:p w:rsidR="00D0423E" w:rsidRPr="00F94990" w:rsidRDefault="00D0423E" w:rsidP="00BE1D4A">
      <w:pPr>
        <w:pStyle w:val="2"/>
        <w:spacing w:before="0" w:after="120" w:line="240" w:lineRule="auto"/>
      </w:pPr>
      <w:bookmarkStart w:id="1" w:name="_Toc450909663"/>
      <w:r w:rsidRPr="00D0423E">
        <w:t>Τι είναι κρατική ενίσχυση?</w:t>
      </w:r>
      <w:bookmarkEnd w:id="1"/>
    </w:p>
    <w:p w:rsidR="00DF4238" w:rsidRDefault="00DF4238" w:rsidP="00BE1D4A">
      <w:pPr>
        <w:spacing w:after="120" w:line="240" w:lineRule="auto"/>
        <w:jc w:val="both"/>
        <w:rPr>
          <w:rFonts w:ascii="Cambria" w:hAnsi="Cambria"/>
          <w:color w:val="244061" w:themeColor="accent1" w:themeShade="80"/>
          <w:sz w:val="24"/>
          <w:szCs w:val="24"/>
        </w:rPr>
      </w:pPr>
      <w:r w:rsidRPr="0067775C">
        <w:rPr>
          <w:rFonts w:ascii="Cambria" w:hAnsi="Cambria"/>
          <w:color w:val="244061" w:themeColor="accent1" w:themeShade="80"/>
          <w:sz w:val="24"/>
          <w:szCs w:val="24"/>
        </w:rPr>
        <w:t>«</w:t>
      </w:r>
      <w:r w:rsidR="0067775C">
        <w:rPr>
          <w:rFonts w:ascii="Cambria" w:hAnsi="Cambria"/>
          <w:color w:val="244061" w:themeColor="accent1" w:themeShade="80"/>
          <w:sz w:val="24"/>
          <w:szCs w:val="24"/>
        </w:rPr>
        <w:t xml:space="preserve">Ενίσχυση </w:t>
      </w:r>
      <w:r w:rsidRPr="0067775C">
        <w:rPr>
          <w:rFonts w:ascii="Cambria" w:hAnsi="Cambria"/>
          <w:color w:val="244061" w:themeColor="accent1" w:themeShade="80"/>
          <w:sz w:val="24"/>
          <w:szCs w:val="24"/>
        </w:rPr>
        <w:t>που χορηγ</w:t>
      </w:r>
      <w:r w:rsidR="0067775C">
        <w:rPr>
          <w:rFonts w:ascii="Cambria" w:hAnsi="Cambria"/>
          <w:color w:val="244061" w:themeColor="accent1" w:themeShade="80"/>
          <w:sz w:val="24"/>
          <w:szCs w:val="24"/>
        </w:rPr>
        <w:t>είται</w:t>
      </w:r>
      <w:r w:rsidRPr="0067775C">
        <w:rPr>
          <w:rFonts w:ascii="Cambria" w:hAnsi="Cambria"/>
          <w:color w:val="244061" w:themeColor="accent1" w:themeShade="80"/>
          <w:sz w:val="24"/>
          <w:szCs w:val="24"/>
        </w:rPr>
        <w:t xml:space="preserve"> υπό οποιαδήποτε μορφή από </w:t>
      </w:r>
      <w:r w:rsidRPr="00F94990">
        <w:rPr>
          <w:rFonts w:ascii="Cambria" w:hAnsi="Cambria"/>
          <w:b/>
          <w:color w:val="244061" w:themeColor="accent1" w:themeShade="80"/>
          <w:sz w:val="24"/>
          <w:szCs w:val="24"/>
        </w:rPr>
        <w:t>τα κράτη ή με κρατικούς πόρους</w:t>
      </w:r>
      <w:r w:rsidRPr="0067775C">
        <w:rPr>
          <w:rFonts w:ascii="Cambria" w:hAnsi="Cambria"/>
          <w:color w:val="244061" w:themeColor="accent1" w:themeShade="80"/>
          <w:sz w:val="24"/>
          <w:szCs w:val="24"/>
        </w:rPr>
        <w:t xml:space="preserve"> και που </w:t>
      </w:r>
      <w:r w:rsidRPr="00F94990">
        <w:rPr>
          <w:rFonts w:ascii="Cambria" w:hAnsi="Cambria"/>
          <w:b/>
          <w:color w:val="244061" w:themeColor="accent1" w:themeShade="80"/>
          <w:sz w:val="24"/>
          <w:szCs w:val="24"/>
        </w:rPr>
        <w:t>νοθεύουν ή απειλούν να νοθεύσουν τον ανταγωνισμό</w:t>
      </w:r>
      <w:r w:rsidRPr="0067775C">
        <w:rPr>
          <w:rFonts w:ascii="Cambria" w:hAnsi="Cambria"/>
          <w:color w:val="244061" w:themeColor="accent1" w:themeShade="80"/>
          <w:sz w:val="24"/>
          <w:szCs w:val="24"/>
        </w:rPr>
        <w:t xml:space="preserve"> δια της </w:t>
      </w:r>
      <w:r w:rsidRPr="00F94990">
        <w:rPr>
          <w:rFonts w:ascii="Cambria" w:hAnsi="Cambria"/>
          <w:b/>
          <w:color w:val="244061" w:themeColor="accent1" w:themeShade="80"/>
          <w:sz w:val="24"/>
          <w:szCs w:val="24"/>
        </w:rPr>
        <w:t>ευνοϊκής μεταχειρίσεως</w:t>
      </w:r>
      <w:r w:rsidR="00F94990">
        <w:rPr>
          <w:rStyle w:val="a9"/>
          <w:rFonts w:ascii="Cambria" w:hAnsi="Cambria"/>
          <w:b/>
          <w:color w:val="244061" w:themeColor="accent1" w:themeShade="80"/>
          <w:sz w:val="24"/>
          <w:szCs w:val="24"/>
        </w:rPr>
        <w:footnoteReference w:id="1"/>
      </w:r>
      <w:r w:rsidRPr="00F94990">
        <w:rPr>
          <w:rFonts w:ascii="Cambria" w:hAnsi="Cambria"/>
          <w:b/>
          <w:color w:val="244061" w:themeColor="accent1" w:themeShade="80"/>
          <w:sz w:val="24"/>
          <w:szCs w:val="24"/>
        </w:rPr>
        <w:t xml:space="preserve"> </w:t>
      </w:r>
      <w:r w:rsidRPr="00F94990">
        <w:rPr>
          <w:rFonts w:ascii="Cambria" w:hAnsi="Cambria"/>
          <w:color w:val="244061" w:themeColor="accent1" w:themeShade="80"/>
          <w:sz w:val="24"/>
          <w:szCs w:val="24"/>
        </w:rPr>
        <w:t>ορισμένων</w:t>
      </w:r>
      <w:r w:rsidRPr="00F94990">
        <w:rPr>
          <w:rFonts w:ascii="Cambria" w:hAnsi="Cambria"/>
          <w:b/>
          <w:color w:val="244061" w:themeColor="accent1" w:themeShade="80"/>
          <w:sz w:val="24"/>
          <w:szCs w:val="24"/>
        </w:rPr>
        <w:t xml:space="preserve"> επιχειρήσεων</w:t>
      </w:r>
      <w:r w:rsidR="00F94990">
        <w:rPr>
          <w:rStyle w:val="a9"/>
          <w:rFonts w:ascii="Cambria" w:hAnsi="Cambria"/>
          <w:b/>
          <w:color w:val="244061" w:themeColor="accent1" w:themeShade="80"/>
          <w:sz w:val="24"/>
          <w:szCs w:val="24"/>
        </w:rPr>
        <w:footnoteReference w:id="2"/>
      </w:r>
      <w:r w:rsidRPr="00F94990">
        <w:rPr>
          <w:rFonts w:ascii="Cambria" w:hAnsi="Cambria"/>
          <w:b/>
          <w:color w:val="244061" w:themeColor="accent1" w:themeShade="80"/>
          <w:sz w:val="24"/>
          <w:szCs w:val="24"/>
        </w:rPr>
        <w:t xml:space="preserve"> ή ορισμένων κλάδων παραγωγής</w:t>
      </w:r>
      <w:r w:rsidRPr="0067775C">
        <w:rPr>
          <w:rFonts w:ascii="Cambria" w:hAnsi="Cambria"/>
          <w:color w:val="244061" w:themeColor="accent1" w:themeShade="80"/>
          <w:sz w:val="24"/>
          <w:szCs w:val="24"/>
        </w:rPr>
        <w:t xml:space="preserve"> είναι ασυμβίβαστες με την εσωτερική αγορά κατά το μέτρο που επηρεάζουν τις μεταξύ των κρατών μελών συναλλαγές, εκτός αν οι Συνθήκες ορίζουν άλλως»</w:t>
      </w:r>
      <w:r w:rsidR="00F94990">
        <w:rPr>
          <w:rFonts w:ascii="Cambria" w:hAnsi="Cambria"/>
          <w:color w:val="244061" w:themeColor="accent1" w:themeShade="80"/>
          <w:sz w:val="24"/>
          <w:szCs w:val="24"/>
        </w:rPr>
        <w:t>.</w:t>
      </w:r>
    </w:p>
    <w:p w:rsidR="00D0423E" w:rsidRPr="00D0423E" w:rsidRDefault="00D0423E" w:rsidP="00BE1D4A">
      <w:pPr>
        <w:pStyle w:val="2"/>
        <w:spacing w:before="0" w:after="120" w:line="240" w:lineRule="auto"/>
      </w:pPr>
      <w:bookmarkStart w:id="2" w:name="_Toc450909664"/>
      <w:r w:rsidRPr="00D0423E">
        <w:t>Γιατί είναι σημαντική η γνώση περί κρατικών ενισχύσεων?</w:t>
      </w:r>
      <w:bookmarkEnd w:id="2"/>
    </w:p>
    <w:p w:rsidR="00D0423E" w:rsidRDefault="009A1DCF"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Ο έλεγχος και η γνώση των κρατικών ενισχύσεων είναι σημαντικός γιατί η μη νόμιμη χορήγηση κρατικής ενίσχυσης έχει σοβαρές συνέπειες όπως:</w:t>
      </w:r>
    </w:p>
    <w:p w:rsidR="009A1DCF" w:rsidRPr="00F94990" w:rsidRDefault="009A1DCF" w:rsidP="00BE1D4A">
      <w:pPr>
        <w:pStyle w:val="aa"/>
        <w:numPr>
          <w:ilvl w:val="0"/>
          <w:numId w:val="21"/>
        </w:numPr>
        <w:spacing w:after="120" w:line="240" w:lineRule="auto"/>
        <w:ind w:left="284" w:hanging="284"/>
        <w:jc w:val="both"/>
        <w:rPr>
          <w:rFonts w:ascii="Cambria" w:hAnsi="Cambria"/>
          <w:color w:val="244061" w:themeColor="accent1" w:themeShade="80"/>
          <w:sz w:val="24"/>
          <w:szCs w:val="24"/>
        </w:rPr>
      </w:pPr>
      <w:r w:rsidRPr="00F94990">
        <w:rPr>
          <w:rFonts w:ascii="Cambria" w:hAnsi="Cambria"/>
          <w:color w:val="244061" w:themeColor="accent1" w:themeShade="80"/>
          <w:sz w:val="24"/>
          <w:szCs w:val="24"/>
        </w:rPr>
        <w:t>Διακοπή καθεστώτος ενίσχυσης</w:t>
      </w:r>
    </w:p>
    <w:p w:rsidR="009A1DCF" w:rsidRPr="00F94990" w:rsidRDefault="009A1DCF" w:rsidP="00BE1D4A">
      <w:pPr>
        <w:pStyle w:val="aa"/>
        <w:numPr>
          <w:ilvl w:val="0"/>
          <w:numId w:val="21"/>
        </w:numPr>
        <w:spacing w:after="120" w:line="240" w:lineRule="auto"/>
        <w:ind w:left="284" w:hanging="284"/>
        <w:jc w:val="both"/>
        <w:rPr>
          <w:rFonts w:ascii="Cambria" w:hAnsi="Cambria"/>
          <w:color w:val="244061" w:themeColor="accent1" w:themeShade="80"/>
          <w:sz w:val="24"/>
          <w:szCs w:val="24"/>
        </w:rPr>
      </w:pPr>
      <w:r w:rsidRPr="00F94990">
        <w:rPr>
          <w:rFonts w:ascii="Cambria" w:hAnsi="Cambria"/>
          <w:color w:val="244061" w:themeColor="accent1" w:themeShade="80"/>
          <w:sz w:val="24"/>
          <w:szCs w:val="24"/>
        </w:rPr>
        <w:t>Αναζήτηση της επιστροφής της ενίσχυσης (συν τόκους) από τις ωφελούμενες επιχειρήσεις</w:t>
      </w:r>
    </w:p>
    <w:p w:rsidR="009A1DCF" w:rsidRPr="00F94990" w:rsidRDefault="009A1DCF" w:rsidP="00BE1D4A">
      <w:pPr>
        <w:pStyle w:val="aa"/>
        <w:numPr>
          <w:ilvl w:val="0"/>
          <w:numId w:val="21"/>
        </w:numPr>
        <w:spacing w:after="120" w:line="240" w:lineRule="auto"/>
        <w:ind w:left="284" w:hanging="284"/>
        <w:jc w:val="both"/>
        <w:rPr>
          <w:rFonts w:ascii="Cambria" w:hAnsi="Cambria"/>
          <w:color w:val="244061" w:themeColor="accent1" w:themeShade="80"/>
          <w:sz w:val="24"/>
          <w:szCs w:val="24"/>
        </w:rPr>
      </w:pPr>
      <w:r w:rsidRPr="00F94990">
        <w:rPr>
          <w:rFonts w:ascii="Cambria" w:hAnsi="Cambria"/>
          <w:color w:val="244061" w:themeColor="accent1" w:themeShade="80"/>
          <w:sz w:val="24"/>
          <w:szCs w:val="24"/>
        </w:rPr>
        <w:t xml:space="preserve">Εκκίνηση διαδικασιών επιβολής προστίμων στο κράτος μέλος  </w:t>
      </w:r>
    </w:p>
    <w:p w:rsidR="009A1DCF" w:rsidRPr="00F94990" w:rsidRDefault="009A1DCF" w:rsidP="00BE1D4A">
      <w:pPr>
        <w:pStyle w:val="aa"/>
        <w:numPr>
          <w:ilvl w:val="0"/>
          <w:numId w:val="21"/>
        </w:numPr>
        <w:spacing w:after="120" w:line="240" w:lineRule="auto"/>
        <w:ind w:left="284" w:hanging="284"/>
        <w:jc w:val="both"/>
        <w:rPr>
          <w:rFonts w:ascii="Cambria" w:hAnsi="Cambria"/>
          <w:color w:val="244061" w:themeColor="accent1" w:themeShade="80"/>
          <w:sz w:val="24"/>
          <w:szCs w:val="24"/>
        </w:rPr>
      </w:pPr>
      <w:r w:rsidRPr="00F94990">
        <w:rPr>
          <w:rFonts w:ascii="Cambria" w:hAnsi="Cambria"/>
          <w:color w:val="244061" w:themeColor="accent1" w:themeShade="80"/>
          <w:sz w:val="24"/>
          <w:szCs w:val="24"/>
        </w:rPr>
        <w:t xml:space="preserve">Αναζήτηση νομικής δράσης για αποζημίωση από μη ωφελούμενους (δυσαρεστημένους) ανταγωνιστές </w:t>
      </w:r>
    </w:p>
    <w:p w:rsidR="00D0423E" w:rsidRDefault="00FB70D5" w:rsidP="00BE1D4A">
      <w:pPr>
        <w:pStyle w:val="2"/>
        <w:spacing w:before="0" w:after="120" w:line="240" w:lineRule="auto"/>
      </w:pPr>
      <w:bookmarkStart w:id="3" w:name="_Toc450909665"/>
      <w:r>
        <w:t>Πως μπορεί να χορηγηθούν νόμιμα κρατικές ενισχύσεις?</w:t>
      </w:r>
      <w:bookmarkEnd w:id="3"/>
    </w:p>
    <w:p w:rsidR="00FB70D5" w:rsidRPr="005B56E1" w:rsidRDefault="00FB70D5"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sidRPr="005B56E1">
        <w:rPr>
          <w:rFonts w:ascii="Cambria" w:hAnsi="Cambria"/>
          <w:color w:val="244061" w:themeColor="accent1" w:themeShade="80"/>
          <w:sz w:val="24"/>
          <w:szCs w:val="24"/>
        </w:rPr>
        <w:t xml:space="preserve">Μέσω </w:t>
      </w:r>
      <w:r w:rsidRPr="005B56E1">
        <w:rPr>
          <w:rFonts w:ascii="Cambria" w:hAnsi="Cambria"/>
          <w:b/>
          <w:color w:val="244061" w:themeColor="accent1" w:themeShade="80"/>
          <w:sz w:val="24"/>
          <w:szCs w:val="24"/>
        </w:rPr>
        <w:t>κοινοποίησης του καθεστώτος στήριξης</w:t>
      </w:r>
      <w:r w:rsidRPr="005B56E1">
        <w:rPr>
          <w:rFonts w:ascii="Cambria" w:hAnsi="Cambria"/>
          <w:color w:val="244061" w:themeColor="accent1" w:themeShade="80"/>
          <w:sz w:val="24"/>
          <w:szCs w:val="24"/>
        </w:rPr>
        <w:t xml:space="preserve"> στην Επιτροπή και αναμονή έγκρισης αυτού πριν πραγματοποιηθούν οποιεσδήποτε πληρωμές στους δικαιούχους.</w:t>
      </w:r>
    </w:p>
    <w:p w:rsidR="00FB70D5" w:rsidRPr="005B56E1" w:rsidRDefault="005B56E1"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sidRPr="005B56E1">
        <w:rPr>
          <w:rFonts w:ascii="Cambria" w:hAnsi="Cambria"/>
          <w:color w:val="244061" w:themeColor="accent1" w:themeShade="80"/>
          <w:sz w:val="24"/>
          <w:szCs w:val="24"/>
        </w:rPr>
        <w:t>Τ</w:t>
      </w:r>
      <w:r w:rsidR="00FB70D5" w:rsidRPr="005B56E1">
        <w:rPr>
          <w:rFonts w:ascii="Cambria" w:hAnsi="Cambria"/>
          <w:color w:val="244061" w:themeColor="accent1" w:themeShade="80"/>
          <w:sz w:val="24"/>
          <w:szCs w:val="24"/>
        </w:rPr>
        <w:t xml:space="preserve">ο </w:t>
      </w:r>
      <w:r w:rsidR="00FB70D5" w:rsidRPr="009A1DCF">
        <w:rPr>
          <w:rFonts w:ascii="Cambria" w:hAnsi="Cambria"/>
          <w:b/>
          <w:color w:val="244061" w:themeColor="accent1" w:themeShade="80"/>
          <w:sz w:val="24"/>
          <w:szCs w:val="24"/>
        </w:rPr>
        <w:t>Συμβούλιο</w:t>
      </w:r>
      <w:r w:rsidR="00FB70D5" w:rsidRPr="005B56E1">
        <w:rPr>
          <w:rFonts w:ascii="Cambria" w:hAnsi="Cambria"/>
          <w:color w:val="244061" w:themeColor="accent1" w:themeShade="80"/>
          <w:sz w:val="24"/>
          <w:szCs w:val="24"/>
        </w:rPr>
        <w:t xml:space="preserve"> μπορεί να καθορίζει κατηγορίες ενισχύσεων που απαλλάσσονται από την εν λόγω υποχρέωση κοινοποίησης. </w:t>
      </w:r>
    </w:p>
    <w:p w:rsidR="00FB70D5" w:rsidRPr="006B1010" w:rsidRDefault="00FB70D5" w:rsidP="00BE1D4A">
      <w:pPr>
        <w:pStyle w:val="aa"/>
        <w:numPr>
          <w:ilvl w:val="0"/>
          <w:numId w:val="17"/>
        </w:numPr>
        <w:spacing w:after="120" w:line="240" w:lineRule="auto"/>
        <w:ind w:left="851" w:hanging="425"/>
        <w:jc w:val="both"/>
        <w:rPr>
          <w:rFonts w:ascii="Cambria" w:hAnsi="Cambria"/>
          <w:color w:val="244061" w:themeColor="accent1" w:themeShade="80"/>
          <w:sz w:val="24"/>
          <w:szCs w:val="24"/>
        </w:rPr>
      </w:pPr>
      <w:r w:rsidRPr="006B1010">
        <w:rPr>
          <w:rFonts w:ascii="Cambria" w:hAnsi="Cambria"/>
          <w:b/>
          <w:bCs/>
          <w:color w:val="244061" w:themeColor="accent1" w:themeShade="80"/>
          <w:sz w:val="24"/>
          <w:szCs w:val="24"/>
        </w:rPr>
        <w:t>Άρθρο 81 καν. (ΕΕ) 1305/2013</w:t>
      </w:r>
      <w:r>
        <w:rPr>
          <w:rStyle w:val="a9"/>
          <w:rFonts w:ascii="Cambria" w:hAnsi="Cambria"/>
          <w:b/>
          <w:bCs/>
          <w:color w:val="244061" w:themeColor="accent1" w:themeShade="80"/>
          <w:sz w:val="24"/>
          <w:szCs w:val="24"/>
        </w:rPr>
        <w:footnoteReference w:id="3"/>
      </w:r>
      <w:r w:rsidRPr="006B1010">
        <w:rPr>
          <w:rFonts w:ascii="Cambria" w:hAnsi="Cambria"/>
          <w:b/>
          <w:bCs/>
          <w:color w:val="244061" w:themeColor="accent1" w:themeShade="80"/>
          <w:sz w:val="24"/>
          <w:szCs w:val="24"/>
        </w:rPr>
        <w:t>:</w:t>
      </w:r>
      <w:r w:rsidRPr="006B1010">
        <w:rPr>
          <w:rFonts w:ascii="Cambria" w:hAnsi="Cambria"/>
          <w:color w:val="244061" w:themeColor="accent1" w:themeShade="80"/>
          <w:sz w:val="24"/>
          <w:szCs w:val="24"/>
        </w:rPr>
        <w:t xml:space="preserve"> «…Τα άρθρα 107, 108 και 109 Συνθήκης για τη Λειτουργία της Ευρωπαϊκής Ένωσης (ΣΛΕΕ) δεν εφαρμόζονται στις πληρωμές που πραγματοποιούνται από τα κράτη μέλη δυνάμει του παρόντος κανονισμού και σύμφωνα με αυτόν ….. εντός του πεδίου εφαρμογής του άρθρου 42 της ΣΛΕΕ.». </w:t>
      </w:r>
    </w:p>
    <w:p w:rsidR="00FB70D5" w:rsidRDefault="00FB70D5" w:rsidP="00BE1D4A">
      <w:pPr>
        <w:tabs>
          <w:tab w:val="num" w:pos="851"/>
        </w:tabs>
        <w:spacing w:after="120" w:line="240" w:lineRule="auto"/>
        <w:ind w:left="851"/>
        <w:jc w:val="both"/>
        <w:rPr>
          <w:rFonts w:ascii="Cambria" w:hAnsi="Cambria"/>
          <w:color w:val="244061" w:themeColor="accent1" w:themeShade="80"/>
          <w:sz w:val="24"/>
          <w:szCs w:val="24"/>
        </w:rPr>
      </w:pPr>
      <w:r w:rsidRPr="00ED6930">
        <w:rPr>
          <w:rFonts w:ascii="Cambria" w:hAnsi="Cambria"/>
          <w:bCs/>
          <w:color w:val="244061" w:themeColor="accent1" w:themeShade="80"/>
          <w:sz w:val="24"/>
          <w:szCs w:val="24"/>
        </w:rPr>
        <w:t>Άρθρο 42 ΣΛΕΕ</w:t>
      </w:r>
      <w:r w:rsidR="006B1010" w:rsidRPr="00ED6930">
        <w:rPr>
          <w:rStyle w:val="a9"/>
          <w:rFonts w:ascii="Cambria" w:hAnsi="Cambria"/>
          <w:bCs/>
          <w:color w:val="244061" w:themeColor="accent1" w:themeShade="80"/>
          <w:sz w:val="24"/>
          <w:szCs w:val="24"/>
        </w:rPr>
        <w:footnoteReference w:id="4"/>
      </w:r>
      <w:r w:rsidRPr="00ED6930">
        <w:rPr>
          <w:rFonts w:ascii="Cambria" w:hAnsi="Cambria"/>
          <w:bCs/>
          <w:color w:val="244061" w:themeColor="accent1" w:themeShade="80"/>
          <w:sz w:val="24"/>
          <w:szCs w:val="24"/>
        </w:rPr>
        <w:t xml:space="preserve">: </w:t>
      </w:r>
      <w:r w:rsidRPr="00DF4238">
        <w:rPr>
          <w:rFonts w:ascii="Cambria" w:hAnsi="Cambria"/>
          <w:color w:val="244061" w:themeColor="accent1" w:themeShade="80"/>
          <w:sz w:val="24"/>
          <w:szCs w:val="24"/>
        </w:rPr>
        <w:t xml:space="preserve">«Οι διατάξεις του κεφαλαίου του σχετικού με τους κανόνες του ανταγωνισμού δεν εφαρμόζονται στην </w:t>
      </w:r>
      <w:r w:rsidRPr="00C6348E">
        <w:rPr>
          <w:rFonts w:ascii="Cambria" w:hAnsi="Cambria"/>
          <w:b/>
          <w:color w:val="244061" w:themeColor="accent1" w:themeShade="80"/>
          <w:sz w:val="24"/>
          <w:szCs w:val="24"/>
        </w:rPr>
        <w:t>παραγωγή και στο εμπόριο των γεωργικών προϊόντων</w:t>
      </w:r>
      <w:r w:rsidRPr="00DF4238">
        <w:rPr>
          <w:rFonts w:ascii="Cambria" w:hAnsi="Cambria"/>
          <w:color w:val="244061" w:themeColor="accent1" w:themeShade="80"/>
          <w:sz w:val="24"/>
          <w:szCs w:val="24"/>
        </w:rPr>
        <w:t xml:space="preserve"> παρά μόνο κατά το μέτρο που ορίζεται από το Ευρωπαϊκό Κοινοβούλιο και το Συμβούλιο</w:t>
      </w:r>
      <w:r w:rsidR="00C6348E">
        <w:rPr>
          <w:rFonts w:ascii="Cambria" w:hAnsi="Cambria"/>
          <w:color w:val="244061" w:themeColor="accent1" w:themeShade="80"/>
          <w:sz w:val="24"/>
          <w:szCs w:val="24"/>
        </w:rPr>
        <w:t>,</w:t>
      </w:r>
      <w:r w:rsidRPr="00DF4238">
        <w:rPr>
          <w:rFonts w:ascii="Cambria" w:hAnsi="Cambria"/>
          <w:color w:val="244061" w:themeColor="accent1" w:themeShade="80"/>
          <w:sz w:val="24"/>
          <w:szCs w:val="24"/>
        </w:rPr>
        <w:t xml:space="preserve"> στο πλαίσιο των διατάξεων και σύμφωνα με τη διαδικασία του άρθρου 43, παράγραφος 2, λαμβάνοντας υπόψη τους στόχους του άρθρου 39»</w:t>
      </w:r>
    </w:p>
    <w:p w:rsidR="009A1DCF" w:rsidRDefault="009A1DCF" w:rsidP="00BE1D4A">
      <w:pPr>
        <w:pStyle w:val="aa"/>
        <w:numPr>
          <w:ilvl w:val="0"/>
          <w:numId w:val="17"/>
        </w:numPr>
        <w:spacing w:after="120" w:line="240" w:lineRule="auto"/>
        <w:ind w:left="851" w:hanging="425"/>
        <w:jc w:val="both"/>
      </w:pPr>
      <w:bookmarkStart w:id="4" w:name="http://eur-lex.europa.eu/legal-content/A"/>
      <w:r w:rsidRPr="005B56E1">
        <w:rPr>
          <w:rFonts w:ascii="Cambria" w:hAnsi="Cambria"/>
          <w:color w:val="244061" w:themeColor="accent1" w:themeShade="80"/>
          <w:sz w:val="24"/>
          <w:szCs w:val="24"/>
        </w:rPr>
        <w:lastRenderedPageBreak/>
        <w:t>Κανονισμός (ΕΕ) αριθ. 1407/2013</w:t>
      </w:r>
      <w:r>
        <w:rPr>
          <w:rStyle w:val="a9"/>
          <w:rFonts w:ascii="Cambria" w:hAnsi="Cambria"/>
          <w:color w:val="244061" w:themeColor="accent1" w:themeShade="80"/>
          <w:sz w:val="24"/>
          <w:szCs w:val="24"/>
        </w:rPr>
        <w:footnoteReference w:id="5"/>
      </w:r>
      <w:r w:rsidRPr="005B56E1">
        <w:rPr>
          <w:rFonts w:ascii="Cambria" w:hAnsi="Cambria"/>
          <w:color w:val="244061" w:themeColor="accent1" w:themeShade="80"/>
          <w:sz w:val="24"/>
          <w:szCs w:val="24"/>
        </w:rPr>
        <w:t xml:space="preserve"> της Επιτροπής σχετικά με την εφαρμογή των άρθρων 107 και 108 της Συνθήκης για τη λειτουργία της Ευρωπαϊκής Ένωσης στις </w:t>
      </w:r>
      <w:r w:rsidRPr="005B56E1">
        <w:rPr>
          <w:rFonts w:ascii="Cambria" w:hAnsi="Cambria"/>
          <w:b/>
          <w:color w:val="244061" w:themeColor="accent1" w:themeShade="80"/>
          <w:sz w:val="24"/>
          <w:szCs w:val="24"/>
        </w:rPr>
        <w:t>ενισχύσεις ήσσονος σημασίας</w:t>
      </w:r>
      <w:bookmarkEnd w:id="4"/>
      <w:r w:rsidR="00ED6930">
        <w:rPr>
          <w:rFonts w:ascii="Cambria" w:hAnsi="Cambria"/>
          <w:b/>
          <w:color w:val="244061" w:themeColor="accent1" w:themeShade="80"/>
          <w:sz w:val="24"/>
          <w:szCs w:val="24"/>
        </w:rPr>
        <w:t xml:space="preserve"> </w:t>
      </w:r>
      <w:r w:rsidR="00ED6930" w:rsidRPr="00ED6930">
        <w:rPr>
          <w:rFonts w:ascii="Cambria" w:hAnsi="Cambria"/>
          <w:color w:val="244061" w:themeColor="accent1" w:themeShade="80"/>
          <w:sz w:val="24"/>
          <w:szCs w:val="24"/>
        </w:rPr>
        <w:t xml:space="preserve">(γενικό </w:t>
      </w:r>
      <w:r w:rsidR="00ED6930" w:rsidRPr="00ED6930">
        <w:rPr>
          <w:rFonts w:ascii="Cambria" w:hAnsi="Cambria"/>
          <w:color w:val="244061" w:themeColor="accent1" w:themeShade="80"/>
          <w:sz w:val="24"/>
          <w:szCs w:val="24"/>
          <w:lang w:val="en-US"/>
        </w:rPr>
        <w:t>de</w:t>
      </w:r>
      <w:r w:rsidR="00ED6930" w:rsidRPr="00ED6930">
        <w:rPr>
          <w:rFonts w:ascii="Cambria" w:hAnsi="Cambria"/>
          <w:color w:val="244061" w:themeColor="accent1" w:themeShade="80"/>
          <w:sz w:val="24"/>
          <w:szCs w:val="24"/>
        </w:rPr>
        <w:t xml:space="preserve"> </w:t>
      </w:r>
      <w:proofErr w:type="spellStart"/>
      <w:r w:rsidR="00ED6930" w:rsidRPr="00ED6930">
        <w:rPr>
          <w:rFonts w:ascii="Cambria" w:hAnsi="Cambria"/>
          <w:color w:val="244061" w:themeColor="accent1" w:themeShade="80"/>
          <w:sz w:val="24"/>
          <w:szCs w:val="24"/>
          <w:lang w:val="en-US"/>
        </w:rPr>
        <w:t>minimis</w:t>
      </w:r>
      <w:proofErr w:type="spellEnd"/>
      <w:r w:rsidR="00ED6930" w:rsidRPr="00ED6930">
        <w:rPr>
          <w:rFonts w:ascii="Cambria" w:hAnsi="Cambria"/>
          <w:color w:val="244061" w:themeColor="accent1" w:themeShade="80"/>
          <w:sz w:val="24"/>
          <w:szCs w:val="24"/>
        </w:rPr>
        <w:t>)</w:t>
      </w:r>
      <w:r w:rsidRPr="00ED6930">
        <w:rPr>
          <w:rFonts w:ascii="Cambria" w:hAnsi="Cambria"/>
          <w:b/>
          <w:color w:val="244061" w:themeColor="accent1" w:themeShade="80"/>
          <w:sz w:val="24"/>
          <w:szCs w:val="24"/>
        </w:rPr>
        <w:t>.</w:t>
      </w:r>
    </w:p>
    <w:p w:rsidR="006B1010" w:rsidRPr="006B1010" w:rsidRDefault="006B1010"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sidRPr="006B1010">
        <w:rPr>
          <w:rFonts w:ascii="Cambria" w:hAnsi="Cambria"/>
          <w:bCs/>
          <w:color w:val="244061" w:themeColor="accent1" w:themeShade="80"/>
          <w:sz w:val="24"/>
          <w:szCs w:val="24"/>
        </w:rPr>
        <w:t xml:space="preserve">Χρήση </w:t>
      </w:r>
      <w:r w:rsidRPr="006B1010">
        <w:rPr>
          <w:rFonts w:ascii="Cambria" w:hAnsi="Cambria"/>
          <w:b/>
          <w:bCs/>
          <w:color w:val="244061" w:themeColor="accent1" w:themeShade="80"/>
          <w:sz w:val="24"/>
          <w:szCs w:val="24"/>
        </w:rPr>
        <w:t>απαλλακτικών κανονισμών</w:t>
      </w:r>
      <w:r w:rsidRPr="006B1010">
        <w:rPr>
          <w:rFonts w:ascii="Cambria" w:hAnsi="Cambria"/>
          <w:bCs/>
          <w:color w:val="244061" w:themeColor="accent1" w:themeShade="80"/>
          <w:sz w:val="24"/>
          <w:szCs w:val="24"/>
        </w:rPr>
        <w:t xml:space="preserve"> για την κήρυξη ορισμένων κατηγοριών ενισχύσεων συμβιβάσιμων με την εσωτερική αγορά, κατ’ εφαρμογή των άρθρων 107 και 108 της ΣΛΕΕ</w:t>
      </w:r>
      <w:r>
        <w:rPr>
          <w:rFonts w:ascii="Cambria" w:hAnsi="Cambria"/>
          <w:bCs/>
          <w:color w:val="244061" w:themeColor="accent1" w:themeShade="80"/>
          <w:sz w:val="24"/>
          <w:szCs w:val="24"/>
        </w:rPr>
        <w:t xml:space="preserve">, βάσει της </w:t>
      </w:r>
      <w:r w:rsidRPr="009A1DCF">
        <w:rPr>
          <w:rFonts w:ascii="Cambria" w:hAnsi="Cambria"/>
          <w:b/>
          <w:bCs/>
          <w:color w:val="244061" w:themeColor="accent1" w:themeShade="80"/>
          <w:sz w:val="24"/>
          <w:szCs w:val="24"/>
        </w:rPr>
        <w:t>εξουσιοδότησης που δίνεται στην Επιτροπή</w:t>
      </w:r>
      <w:r>
        <w:rPr>
          <w:rFonts w:ascii="Cambria" w:hAnsi="Cambria"/>
          <w:bCs/>
          <w:color w:val="244061" w:themeColor="accent1" w:themeShade="80"/>
          <w:sz w:val="24"/>
          <w:szCs w:val="24"/>
        </w:rPr>
        <w:t xml:space="preserve"> να δηλώσει </w:t>
      </w:r>
      <w:r w:rsidR="002F0125">
        <w:rPr>
          <w:rFonts w:ascii="Cambria" w:hAnsi="Cambria"/>
          <w:bCs/>
          <w:color w:val="244061" w:themeColor="accent1" w:themeShade="80"/>
          <w:sz w:val="24"/>
          <w:szCs w:val="24"/>
        </w:rPr>
        <w:t>ότι ορισμένες κατηγορίες ενισχύσεων απαλλάσσονται από την προβλεπόμενη υποχρέωση κοινοποίησης</w:t>
      </w:r>
      <w:r w:rsidR="009A1DCF">
        <w:rPr>
          <w:rFonts w:ascii="Cambria" w:hAnsi="Cambria"/>
          <w:bCs/>
          <w:color w:val="244061" w:themeColor="accent1" w:themeShade="80"/>
          <w:sz w:val="24"/>
          <w:szCs w:val="24"/>
        </w:rPr>
        <w:t>, κυρίως</w:t>
      </w:r>
      <w:r w:rsidR="002F0125">
        <w:rPr>
          <w:rFonts w:ascii="Cambria" w:hAnsi="Cambria"/>
          <w:bCs/>
          <w:color w:val="244061" w:themeColor="accent1" w:themeShade="80"/>
          <w:sz w:val="24"/>
          <w:szCs w:val="24"/>
        </w:rPr>
        <w:t>:</w:t>
      </w:r>
    </w:p>
    <w:p w:rsidR="006B1010" w:rsidRPr="002F0125" w:rsidRDefault="006B1010" w:rsidP="00BE1D4A">
      <w:pPr>
        <w:pStyle w:val="aa"/>
        <w:numPr>
          <w:ilvl w:val="1"/>
          <w:numId w:val="20"/>
        </w:numPr>
        <w:spacing w:after="120" w:line="240" w:lineRule="auto"/>
        <w:ind w:left="851" w:hanging="425"/>
        <w:jc w:val="both"/>
        <w:rPr>
          <w:rFonts w:ascii="Cambria" w:hAnsi="Cambria"/>
          <w:color w:val="244061" w:themeColor="accent1" w:themeShade="80"/>
          <w:sz w:val="24"/>
          <w:szCs w:val="24"/>
        </w:rPr>
      </w:pPr>
      <w:r>
        <w:rPr>
          <w:rFonts w:ascii="Cambria" w:hAnsi="Cambria"/>
          <w:bCs/>
          <w:color w:val="244061" w:themeColor="accent1" w:themeShade="80"/>
          <w:sz w:val="24"/>
          <w:szCs w:val="24"/>
        </w:rPr>
        <w:t xml:space="preserve">Απαλλακτικός κανονισμός για τη γεωργία και τη δασοκομία </w:t>
      </w:r>
      <w:r w:rsidRPr="002F0125">
        <w:rPr>
          <w:rFonts w:ascii="Cambria" w:hAnsi="Cambria"/>
          <w:b/>
          <w:bCs/>
          <w:color w:val="244061" w:themeColor="accent1" w:themeShade="80"/>
          <w:sz w:val="24"/>
          <w:szCs w:val="24"/>
        </w:rPr>
        <w:t>καν. (ΕΕ) 702/2014 της Επιτροπής</w:t>
      </w:r>
      <w:r>
        <w:rPr>
          <w:rStyle w:val="a9"/>
          <w:rFonts w:ascii="Cambria" w:hAnsi="Cambria"/>
          <w:bCs/>
          <w:color w:val="244061" w:themeColor="accent1" w:themeShade="80"/>
          <w:sz w:val="24"/>
          <w:szCs w:val="24"/>
        </w:rPr>
        <w:footnoteReference w:id="6"/>
      </w:r>
    </w:p>
    <w:p w:rsidR="002F0125" w:rsidRPr="00C6348E" w:rsidRDefault="002F0125" w:rsidP="00BE1D4A">
      <w:pPr>
        <w:pStyle w:val="aa"/>
        <w:numPr>
          <w:ilvl w:val="1"/>
          <w:numId w:val="20"/>
        </w:numPr>
        <w:spacing w:after="120" w:line="240" w:lineRule="auto"/>
        <w:ind w:left="851" w:hanging="425"/>
        <w:jc w:val="both"/>
        <w:rPr>
          <w:rFonts w:ascii="Cambria" w:hAnsi="Cambria"/>
          <w:color w:val="244061" w:themeColor="accent1" w:themeShade="80"/>
          <w:sz w:val="24"/>
          <w:szCs w:val="24"/>
        </w:rPr>
      </w:pPr>
      <w:r w:rsidRPr="002F0125">
        <w:rPr>
          <w:rFonts w:ascii="Cambria" w:hAnsi="Cambria"/>
          <w:bCs/>
          <w:color w:val="244061" w:themeColor="accent1" w:themeShade="80"/>
          <w:sz w:val="24"/>
          <w:szCs w:val="24"/>
        </w:rPr>
        <w:t xml:space="preserve">Γενικός απαλλακτικός </w:t>
      </w:r>
      <w:r>
        <w:rPr>
          <w:rFonts w:ascii="Cambria" w:hAnsi="Cambria"/>
          <w:bCs/>
          <w:color w:val="244061" w:themeColor="accent1" w:themeShade="80"/>
          <w:sz w:val="24"/>
          <w:szCs w:val="24"/>
        </w:rPr>
        <w:t xml:space="preserve">κανονισμός </w:t>
      </w:r>
      <w:r w:rsidRPr="002F0125">
        <w:rPr>
          <w:rFonts w:ascii="Cambria" w:hAnsi="Cambria"/>
          <w:b/>
          <w:bCs/>
          <w:color w:val="244061" w:themeColor="accent1" w:themeShade="80"/>
          <w:sz w:val="24"/>
          <w:szCs w:val="24"/>
        </w:rPr>
        <w:t>καν. (ΕΕ) 651/2014 της Επιτροπής</w:t>
      </w:r>
      <w:r w:rsidRPr="00BE1D4A">
        <w:rPr>
          <w:rStyle w:val="a9"/>
          <w:rFonts w:ascii="Cambria" w:hAnsi="Cambria"/>
          <w:bCs/>
          <w:color w:val="244061" w:themeColor="accent1" w:themeShade="80"/>
          <w:sz w:val="24"/>
          <w:szCs w:val="24"/>
        </w:rPr>
        <w:footnoteReference w:id="7"/>
      </w:r>
      <w:r w:rsidRPr="00BE1D4A">
        <w:rPr>
          <w:rFonts w:ascii="Cambria" w:hAnsi="Cambria"/>
          <w:bCs/>
          <w:color w:val="244061" w:themeColor="accent1" w:themeShade="80"/>
          <w:sz w:val="24"/>
          <w:szCs w:val="24"/>
        </w:rPr>
        <w:t xml:space="preserve"> </w:t>
      </w:r>
      <w:r>
        <w:rPr>
          <w:rFonts w:ascii="Cambria" w:hAnsi="Cambria"/>
          <w:bCs/>
          <w:color w:val="244061" w:themeColor="accent1" w:themeShade="80"/>
          <w:sz w:val="24"/>
          <w:szCs w:val="24"/>
        </w:rPr>
        <w:t xml:space="preserve"> </w:t>
      </w:r>
    </w:p>
    <w:bookmarkStart w:id="5" w:name="_Toc450909666"/>
    <w:p w:rsidR="005F018B" w:rsidRDefault="00BE1D4A" w:rsidP="00BE1D4A">
      <w:pPr>
        <w:pStyle w:val="2"/>
        <w:spacing w:before="0" w:after="120" w:line="240" w:lineRule="auto"/>
        <w:jc w:val="both"/>
      </w:pPr>
      <w:r>
        <w:rPr>
          <w:rFonts w:ascii="Cambria" w:hAnsi="Cambria"/>
          <w:i/>
          <w:noProof/>
          <w:color w:val="244061" w:themeColor="accent1" w:themeShade="80"/>
          <w:sz w:val="24"/>
          <w:szCs w:val="24"/>
          <w:lang w:eastAsia="el-GR"/>
        </w:rPr>
        <mc:AlternateContent>
          <mc:Choice Requires="wps">
            <w:drawing>
              <wp:anchor distT="0" distB="0" distL="114300" distR="114300" simplePos="0" relativeHeight="251660288" behindDoc="1" locked="0" layoutInCell="1" allowOverlap="1" wp14:anchorId="3429E61A" wp14:editId="466D4F28">
                <wp:simplePos x="0" y="0"/>
                <wp:positionH relativeFrom="column">
                  <wp:posOffset>-34290</wp:posOffset>
                </wp:positionH>
                <wp:positionV relativeFrom="paragraph">
                  <wp:posOffset>468630</wp:posOffset>
                </wp:positionV>
                <wp:extent cx="6280785" cy="619760"/>
                <wp:effectExtent l="0" t="0" r="24765" b="27940"/>
                <wp:wrapNone/>
                <wp:docPr id="3" name="Πλαίσιο κειμένου 3"/>
                <wp:cNvGraphicFramePr/>
                <a:graphic xmlns:a="http://schemas.openxmlformats.org/drawingml/2006/main">
                  <a:graphicData uri="http://schemas.microsoft.com/office/word/2010/wordprocessingShape">
                    <wps:wsp>
                      <wps:cNvSpPr txBox="1"/>
                      <wps:spPr>
                        <a:xfrm>
                          <a:off x="0" y="0"/>
                          <a:ext cx="6280785" cy="61976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60B" w:rsidRDefault="00B53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3" o:spid="_x0000_s1027" type="#_x0000_t202" style="position:absolute;left:0;text-align:left;margin-left:-2.7pt;margin-top:36.9pt;width:494.55pt;height:48.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" fillcolor="#dbe5f1 [660]" strokeweight=".5pt">
                <v:textbox>
                  <w:txbxContent>
                    <w:p w:rsidR="00B5360B" w:rsidRDefault="00B5360B"/>
                  </w:txbxContent>
                </v:textbox>
              </v:shape>
            </w:pict>
          </mc:Fallback>
        </mc:AlternateContent>
      </w:r>
      <w:r w:rsidR="005F018B" w:rsidRPr="005F018B">
        <w:t xml:space="preserve">Τι πρέπει να κάνει μια ΟΤΔ εφόσον θεωρηθεί ότι μια </w:t>
      </w:r>
      <w:r w:rsidR="005F018B">
        <w:t>δράση</w:t>
      </w:r>
      <w:r w:rsidR="005F018B" w:rsidRPr="005F018B">
        <w:t xml:space="preserve"> υπόκειται στους κανόνες κρατικών ενισχύσεων?</w:t>
      </w:r>
      <w:bookmarkEnd w:id="5"/>
    </w:p>
    <w:p w:rsidR="0051769B" w:rsidRDefault="005F018B" w:rsidP="00BE1D4A">
      <w:pPr>
        <w:spacing w:after="120" w:line="240" w:lineRule="auto"/>
        <w:jc w:val="both"/>
        <w:rPr>
          <w:rFonts w:ascii="Cambria" w:hAnsi="Cambria"/>
          <w:i/>
          <w:color w:val="244061" w:themeColor="accent1" w:themeShade="80"/>
          <w:sz w:val="24"/>
          <w:szCs w:val="24"/>
        </w:rPr>
      </w:pPr>
      <w:r w:rsidRPr="00DF56D2">
        <w:rPr>
          <w:rFonts w:ascii="Cambria" w:hAnsi="Cambria"/>
          <w:i/>
          <w:color w:val="244061" w:themeColor="accent1" w:themeShade="80"/>
          <w:sz w:val="24"/>
          <w:szCs w:val="24"/>
        </w:rPr>
        <w:t xml:space="preserve">Αφορά σε δράσεις στο πλαίσιο  τοπικής ανάπτυξης με την πρωτοβουλία τοπικών κοινοτήτων που χρηματοδοτούνται από το ΕΓΤΑΑ και δε σχετίζονται με την παραγωγή και εμπορία γεωργικών προϊόντων και συνεπώς υπόκεινται στους </w:t>
      </w:r>
      <w:bookmarkStart w:id="6" w:name="_GoBack"/>
      <w:bookmarkEnd w:id="6"/>
      <w:r w:rsidRPr="00DF56D2">
        <w:rPr>
          <w:rFonts w:ascii="Cambria" w:hAnsi="Cambria"/>
          <w:i/>
          <w:color w:val="244061" w:themeColor="accent1" w:themeShade="80"/>
          <w:sz w:val="24"/>
          <w:szCs w:val="24"/>
        </w:rPr>
        <w:t xml:space="preserve">κανόνες κρατικών ενισχύσεων. </w:t>
      </w:r>
    </w:p>
    <w:p w:rsidR="005F018B" w:rsidRPr="00DF56D2" w:rsidRDefault="005F018B" w:rsidP="00BE1D4A">
      <w:pPr>
        <w:spacing w:after="120" w:line="240" w:lineRule="auto"/>
        <w:jc w:val="both"/>
        <w:rPr>
          <w:rFonts w:ascii="Cambria" w:hAnsi="Cambria"/>
          <w:color w:val="244061" w:themeColor="accent1" w:themeShade="80"/>
          <w:sz w:val="24"/>
          <w:szCs w:val="24"/>
        </w:rPr>
      </w:pPr>
      <w:r w:rsidRPr="00DF56D2">
        <w:rPr>
          <w:rFonts w:ascii="Cambria" w:hAnsi="Cambria"/>
          <w:color w:val="244061" w:themeColor="accent1" w:themeShade="80"/>
          <w:sz w:val="24"/>
          <w:szCs w:val="24"/>
        </w:rPr>
        <w:t>Το γεγονός ότι οι κανόνες κρατικών ενισχύσεων ισχύουν για μια συγκεκριμένη δράση δε συνεπάγεται κατ’ ανάγκη και υποχρέωση κοινοποίησής της στην Επιτροπή</w:t>
      </w:r>
      <w:r w:rsidR="00DF56D2">
        <w:rPr>
          <w:rFonts w:ascii="Cambria" w:hAnsi="Cambria"/>
          <w:color w:val="244061" w:themeColor="accent1" w:themeShade="80"/>
          <w:sz w:val="24"/>
          <w:szCs w:val="24"/>
        </w:rPr>
        <w:t>, όπως περιγράφεται ακολούθως:</w:t>
      </w:r>
    </w:p>
    <w:p w:rsidR="005F018B" w:rsidRPr="00DF56D2" w:rsidRDefault="00DF56D2" w:rsidP="00BE1D4A">
      <w:pPr>
        <w:spacing w:after="120" w:line="240" w:lineRule="auto"/>
        <w:jc w:val="both"/>
        <w:rPr>
          <w:rFonts w:ascii="Cambria" w:hAnsi="Cambria"/>
          <w:color w:val="244061" w:themeColor="accent1" w:themeShade="80"/>
          <w:sz w:val="24"/>
          <w:szCs w:val="24"/>
        </w:rPr>
      </w:pPr>
      <w:r w:rsidRPr="00FF5153">
        <w:rPr>
          <w:rFonts w:ascii="Cambria" w:hAnsi="Cambria"/>
          <w:color w:val="244061" w:themeColor="accent1" w:themeShade="80"/>
          <w:sz w:val="24"/>
          <w:szCs w:val="24"/>
          <w:u w:val="single"/>
        </w:rPr>
        <w:t>1</w:t>
      </w:r>
      <w:r w:rsidRPr="00FF5153">
        <w:rPr>
          <w:rFonts w:ascii="Cambria" w:hAnsi="Cambria"/>
          <w:color w:val="244061" w:themeColor="accent1" w:themeShade="80"/>
          <w:sz w:val="24"/>
          <w:szCs w:val="24"/>
          <w:u w:val="single"/>
          <w:vertAlign w:val="superscript"/>
        </w:rPr>
        <w:t>η</w:t>
      </w:r>
      <w:r w:rsidRPr="00FF5153">
        <w:rPr>
          <w:rFonts w:ascii="Cambria" w:hAnsi="Cambria"/>
          <w:color w:val="244061" w:themeColor="accent1" w:themeShade="80"/>
          <w:sz w:val="24"/>
          <w:szCs w:val="24"/>
          <w:u w:val="single"/>
        </w:rPr>
        <w:t xml:space="preserve"> περίπτωση</w:t>
      </w:r>
      <w:r>
        <w:rPr>
          <w:rFonts w:ascii="Cambria" w:hAnsi="Cambria"/>
          <w:color w:val="244061" w:themeColor="accent1" w:themeShade="80"/>
          <w:sz w:val="24"/>
          <w:szCs w:val="24"/>
        </w:rPr>
        <w:t xml:space="preserve">: </w:t>
      </w:r>
      <w:r w:rsidR="005F018B" w:rsidRPr="00DF56D2">
        <w:rPr>
          <w:rFonts w:ascii="Cambria" w:hAnsi="Cambria"/>
          <w:color w:val="244061" w:themeColor="accent1" w:themeShade="80"/>
          <w:sz w:val="24"/>
          <w:szCs w:val="24"/>
        </w:rPr>
        <w:t>Εάν το ποσό ενίσχυσης (δημόσια δαπάνη) δεν υπερβαίνει τις 200.000 ευρώ ανά επιχείρηση για μια περίοδο 3 ετών, το έργο δύναται να εμπίπτει στο γενικό κανονισμό ενισχύσεων ήσσονος σημασίας (</w:t>
      </w:r>
      <w:proofErr w:type="spellStart"/>
      <w:r w:rsidR="005F018B" w:rsidRPr="00DF56D2">
        <w:rPr>
          <w:rFonts w:ascii="Cambria" w:hAnsi="Cambria"/>
          <w:color w:val="244061" w:themeColor="accent1" w:themeShade="80"/>
          <w:sz w:val="24"/>
          <w:szCs w:val="24"/>
        </w:rPr>
        <w:t>de</w:t>
      </w:r>
      <w:proofErr w:type="spellEnd"/>
      <w:r w:rsidR="005F018B" w:rsidRPr="00DF56D2">
        <w:rPr>
          <w:rFonts w:ascii="Cambria" w:hAnsi="Cambria"/>
          <w:color w:val="244061" w:themeColor="accent1" w:themeShade="80"/>
          <w:sz w:val="24"/>
          <w:szCs w:val="24"/>
        </w:rPr>
        <w:t xml:space="preserve"> </w:t>
      </w:r>
      <w:proofErr w:type="spellStart"/>
      <w:r w:rsidR="005F018B" w:rsidRPr="00DF56D2">
        <w:rPr>
          <w:rFonts w:ascii="Cambria" w:hAnsi="Cambria"/>
          <w:color w:val="244061" w:themeColor="accent1" w:themeShade="80"/>
          <w:sz w:val="24"/>
          <w:szCs w:val="24"/>
        </w:rPr>
        <w:t>minimis</w:t>
      </w:r>
      <w:proofErr w:type="spellEnd"/>
      <w:r w:rsidR="005F018B" w:rsidRPr="00DF56D2">
        <w:rPr>
          <w:rFonts w:ascii="Cambria" w:hAnsi="Cambria"/>
          <w:color w:val="244061" w:themeColor="accent1" w:themeShade="80"/>
          <w:sz w:val="24"/>
          <w:szCs w:val="24"/>
        </w:rPr>
        <w:t>).</w:t>
      </w:r>
    </w:p>
    <w:p w:rsidR="005F018B" w:rsidRPr="00DF56D2" w:rsidRDefault="00DF56D2" w:rsidP="00BE1D4A">
      <w:pPr>
        <w:spacing w:after="120" w:line="240" w:lineRule="auto"/>
        <w:jc w:val="both"/>
        <w:rPr>
          <w:rFonts w:ascii="Cambria" w:hAnsi="Cambria"/>
          <w:color w:val="244061" w:themeColor="accent1" w:themeShade="80"/>
          <w:sz w:val="24"/>
          <w:szCs w:val="24"/>
        </w:rPr>
      </w:pPr>
      <w:r w:rsidRPr="00FF5153">
        <w:rPr>
          <w:rFonts w:ascii="Cambria" w:hAnsi="Cambria"/>
          <w:color w:val="244061" w:themeColor="accent1" w:themeShade="80"/>
          <w:sz w:val="24"/>
          <w:szCs w:val="24"/>
          <w:u w:val="single"/>
        </w:rPr>
        <w:t>2</w:t>
      </w:r>
      <w:r w:rsidRPr="00FF5153">
        <w:rPr>
          <w:rFonts w:ascii="Cambria" w:hAnsi="Cambria"/>
          <w:color w:val="244061" w:themeColor="accent1" w:themeShade="80"/>
          <w:sz w:val="24"/>
          <w:szCs w:val="24"/>
          <w:u w:val="single"/>
          <w:vertAlign w:val="superscript"/>
        </w:rPr>
        <w:t>η</w:t>
      </w:r>
      <w:r w:rsidRPr="00FF5153">
        <w:rPr>
          <w:rFonts w:ascii="Cambria" w:hAnsi="Cambria"/>
          <w:color w:val="244061" w:themeColor="accent1" w:themeShade="80"/>
          <w:sz w:val="24"/>
          <w:szCs w:val="24"/>
          <w:u w:val="single"/>
        </w:rPr>
        <w:t xml:space="preserve"> περίπτωση</w:t>
      </w:r>
      <w:r>
        <w:rPr>
          <w:rFonts w:ascii="Cambria" w:hAnsi="Cambria"/>
          <w:color w:val="244061" w:themeColor="accent1" w:themeShade="80"/>
          <w:sz w:val="24"/>
          <w:szCs w:val="24"/>
        </w:rPr>
        <w:t xml:space="preserve">: </w:t>
      </w:r>
      <w:r w:rsidR="005F018B" w:rsidRPr="00DF56D2">
        <w:rPr>
          <w:rFonts w:ascii="Cambria" w:hAnsi="Cambria"/>
          <w:color w:val="244061" w:themeColor="accent1" w:themeShade="80"/>
          <w:sz w:val="24"/>
          <w:szCs w:val="24"/>
        </w:rPr>
        <w:t xml:space="preserve">Εάν το ποσό υπερβαίνει τις 200.000 ευρώ ανά </w:t>
      </w:r>
      <w:r w:rsidRPr="00DF56D2">
        <w:rPr>
          <w:rFonts w:ascii="Cambria" w:hAnsi="Cambria"/>
          <w:color w:val="244061" w:themeColor="accent1" w:themeShade="80"/>
          <w:sz w:val="24"/>
          <w:szCs w:val="24"/>
        </w:rPr>
        <w:t>επιχείρηση</w:t>
      </w:r>
      <w:r w:rsidR="005F018B" w:rsidRPr="00DF56D2">
        <w:rPr>
          <w:rFonts w:ascii="Cambria" w:hAnsi="Cambria"/>
          <w:color w:val="244061" w:themeColor="accent1" w:themeShade="80"/>
          <w:sz w:val="24"/>
          <w:szCs w:val="24"/>
        </w:rPr>
        <w:t xml:space="preserve"> για μια περίοδο 3 ετών, </w:t>
      </w:r>
      <w:r w:rsidRPr="00DF56D2">
        <w:rPr>
          <w:rFonts w:ascii="Cambria" w:hAnsi="Cambria"/>
          <w:color w:val="244061" w:themeColor="accent1" w:themeShade="80"/>
          <w:sz w:val="24"/>
          <w:szCs w:val="24"/>
        </w:rPr>
        <w:t xml:space="preserve">πρέπει να εξεταστεί </w:t>
      </w:r>
      <w:r w:rsidR="005F018B" w:rsidRPr="00DF56D2">
        <w:rPr>
          <w:rFonts w:ascii="Cambria" w:hAnsi="Cambria"/>
          <w:color w:val="244061" w:themeColor="accent1" w:themeShade="80"/>
          <w:sz w:val="24"/>
          <w:szCs w:val="24"/>
        </w:rPr>
        <w:t xml:space="preserve"> εάν το έργο εμπίπτει </w:t>
      </w:r>
      <w:r w:rsidR="009C2989">
        <w:rPr>
          <w:rFonts w:ascii="Cambria" w:hAnsi="Cambria"/>
          <w:color w:val="244061" w:themeColor="accent1" w:themeShade="80"/>
          <w:sz w:val="24"/>
          <w:szCs w:val="24"/>
        </w:rPr>
        <w:t xml:space="preserve">σε κάποιον από τους σχετικούς κανονισμούς </w:t>
      </w:r>
      <w:r w:rsidR="009C2989" w:rsidRPr="00FF5153">
        <w:rPr>
          <w:rFonts w:ascii="Cambria" w:hAnsi="Cambria"/>
          <w:color w:val="244061" w:themeColor="accent1" w:themeShade="80"/>
          <w:sz w:val="24"/>
          <w:szCs w:val="24"/>
        </w:rPr>
        <w:t xml:space="preserve">απαλλαγής </w:t>
      </w:r>
      <w:r w:rsidR="005F018B" w:rsidRPr="00DF56D2">
        <w:rPr>
          <w:rFonts w:ascii="Cambria" w:hAnsi="Cambria"/>
          <w:color w:val="244061" w:themeColor="accent1" w:themeShade="80"/>
          <w:sz w:val="24"/>
          <w:szCs w:val="24"/>
        </w:rPr>
        <w:t xml:space="preserve">κατά κατηγορία. Στην περίπτωση αυτή, η Επιτροπή πρέπει να </w:t>
      </w:r>
      <w:r w:rsidR="005F018B" w:rsidRPr="009C2989">
        <w:rPr>
          <w:rFonts w:ascii="Cambria" w:hAnsi="Cambria"/>
          <w:b/>
          <w:color w:val="244061" w:themeColor="accent1" w:themeShade="80"/>
          <w:sz w:val="24"/>
          <w:szCs w:val="24"/>
        </w:rPr>
        <w:t>ενημερώνεται</w:t>
      </w:r>
      <w:r w:rsidR="005F018B" w:rsidRPr="00DF56D2">
        <w:rPr>
          <w:rFonts w:ascii="Cambria" w:hAnsi="Cambria"/>
          <w:color w:val="244061" w:themeColor="accent1" w:themeShade="80"/>
          <w:sz w:val="24"/>
          <w:szCs w:val="24"/>
        </w:rPr>
        <w:t xml:space="preserve"> για </w:t>
      </w:r>
      <w:r w:rsidRPr="00DF56D2">
        <w:rPr>
          <w:rFonts w:ascii="Cambria" w:hAnsi="Cambria"/>
          <w:color w:val="244061" w:themeColor="accent1" w:themeShade="80"/>
          <w:sz w:val="24"/>
          <w:szCs w:val="24"/>
        </w:rPr>
        <w:t>τη δράση (κατηγορία δράσεων)</w:t>
      </w:r>
      <w:r w:rsidR="005F018B" w:rsidRPr="00DF56D2">
        <w:rPr>
          <w:rFonts w:ascii="Cambria" w:hAnsi="Cambria"/>
          <w:color w:val="244061" w:themeColor="accent1" w:themeShade="80"/>
          <w:sz w:val="24"/>
          <w:szCs w:val="24"/>
        </w:rPr>
        <w:t xml:space="preserve"> χωρίς να απαιτείται κοινοποίηση.</w:t>
      </w:r>
    </w:p>
    <w:p w:rsidR="00DF56D2" w:rsidRDefault="00DF56D2" w:rsidP="00BE1D4A">
      <w:pPr>
        <w:spacing w:after="120" w:line="240" w:lineRule="auto"/>
        <w:jc w:val="both"/>
        <w:rPr>
          <w:rFonts w:ascii="Cambria" w:hAnsi="Cambria"/>
          <w:color w:val="244061" w:themeColor="accent1" w:themeShade="80"/>
          <w:sz w:val="24"/>
          <w:szCs w:val="24"/>
        </w:rPr>
      </w:pPr>
      <w:r w:rsidRPr="00FF5153">
        <w:rPr>
          <w:rFonts w:ascii="Cambria" w:hAnsi="Cambria"/>
          <w:color w:val="244061" w:themeColor="accent1" w:themeShade="80"/>
          <w:sz w:val="24"/>
          <w:szCs w:val="24"/>
          <w:u w:val="single"/>
        </w:rPr>
        <w:t>3</w:t>
      </w:r>
      <w:r w:rsidRPr="00FF5153">
        <w:rPr>
          <w:rFonts w:ascii="Cambria" w:hAnsi="Cambria"/>
          <w:color w:val="244061" w:themeColor="accent1" w:themeShade="80"/>
          <w:sz w:val="24"/>
          <w:szCs w:val="24"/>
          <w:u w:val="single"/>
          <w:vertAlign w:val="superscript"/>
        </w:rPr>
        <w:t>η</w:t>
      </w:r>
      <w:r w:rsidRPr="00FF5153">
        <w:rPr>
          <w:rFonts w:ascii="Cambria" w:hAnsi="Cambria"/>
          <w:color w:val="244061" w:themeColor="accent1" w:themeShade="80"/>
          <w:sz w:val="24"/>
          <w:szCs w:val="24"/>
          <w:u w:val="single"/>
        </w:rPr>
        <w:t xml:space="preserve"> περίπτωση</w:t>
      </w:r>
      <w:r>
        <w:rPr>
          <w:rFonts w:ascii="Cambria" w:hAnsi="Cambria"/>
          <w:color w:val="244061" w:themeColor="accent1" w:themeShade="80"/>
          <w:sz w:val="24"/>
          <w:szCs w:val="24"/>
        </w:rPr>
        <w:t>: Ε</w:t>
      </w:r>
      <w:r w:rsidRPr="00DF56D2">
        <w:rPr>
          <w:rFonts w:ascii="Cambria" w:hAnsi="Cambria"/>
          <w:color w:val="244061" w:themeColor="accent1" w:themeShade="80"/>
          <w:sz w:val="24"/>
          <w:szCs w:val="24"/>
        </w:rPr>
        <w:t>άν η δράση δεν πληροί τις προϋποθέσεις που απαιτούνται για να εμπίπτει στο γενικό κανονισμό ενισχύσεων ήσσονος σημασίας (</w:t>
      </w:r>
      <w:proofErr w:type="spellStart"/>
      <w:r w:rsidRPr="00DF56D2">
        <w:rPr>
          <w:rFonts w:ascii="Cambria" w:hAnsi="Cambria"/>
          <w:color w:val="244061" w:themeColor="accent1" w:themeShade="80"/>
          <w:sz w:val="24"/>
          <w:szCs w:val="24"/>
        </w:rPr>
        <w:t>de</w:t>
      </w:r>
      <w:proofErr w:type="spellEnd"/>
      <w:r w:rsidRPr="00DF56D2">
        <w:rPr>
          <w:rFonts w:ascii="Cambria" w:hAnsi="Cambria"/>
          <w:color w:val="244061" w:themeColor="accent1" w:themeShade="80"/>
          <w:sz w:val="24"/>
          <w:szCs w:val="24"/>
        </w:rPr>
        <w:t xml:space="preserve"> </w:t>
      </w:r>
      <w:proofErr w:type="spellStart"/>
      <w:r w:rsidRPr="00DF56D2">
        <w:rPr>
          <w:rFonts w:ascii="Cambria" w:hAnsi="Cambria"/>
          <w:color w:val="244061" w:themeColor="accent1" w:themeShade="80"/>
          <w:sz w:val="24"/>
          <w:szCs w:val="24"/>
        </w:rPr>
        <w:t>minimis</w:t>
      </w:r>
      <w:proofErr w:type="spellEnd"/>
      <w:r w:rsidRPr="00DF56D2">
        <w:rPr>
          <w:rFonts w:ascii="Cambria" w:hAnsi="Cambria"/>
          <w:color w:val="244061" w:themeColor="accent1" w:themeShade="80"/>
          <w:sz w:val="24"/>
          <w:szCs w:val="24"/>
        </w:rPr>
        <w:t xml:space="preserve">) ή το γενικό κανονισμό απαλλαγής κατά κατηγορία, πρέπει να </w:t>
      </w:r>
      <w:r w:rsidRPr="00B37208">
        <w:rPr>
          <w:rFonts w:ascii="Cambria" w:hAnsi="Cambria"/>
          <w:b/>
          <w:color w:val="244061" w:themeColor="accent1" w:themeShade="80"/>
          <w:sz w:val="24"/>
          <w:szCs w:val="24"/>
        </w:rPr>
        <w:t>κοινοποιηθεί στην Επιτροπή</w:t>
      </w:r>
      <w:r w:rsidRPr="00DF56D2">
        <w:rPr>
          <w:rFonts w:ascii="Cambria" w:hAnsi="Cambria"/>
          <w:color w:val="244061" w:themeColor="accent1" w:themeShade="80"/>
          <w:sz w:val="24"/>
          <w:szCs w:val="24"/>
        </w:rPr>
        <w:t xml:space="preserve"> </w:t>
      </w:r>
      <w:r w:rsidR="00FF5153" w:rsidRPr="00FF5153">
        <w:rPr>
          <w:rFonts w:ascii="Cambria" w:hAnsi="Cambria"/>
          <w:b/>
          <w:color w:val="244061" w:themeColor="accent1" w:themeShade="80"/>
          <w:sz w:val="24"/>
          <w:szCs w:val="24"/>
        </w:rPr>
        <w:t xml:space="preserve">= </w:t>
      </w:r>
      <w:r w:rsidRPr="00FF5153">
        <w:rPr>
          <w:rFonts w:ascii="Cambria" w:hAnsi="Cambria"/>
          <w:b/>
          <w:color w:val="244061" w:themeColor="accent1" w:themeShade="80"/>
          <w:sz w:val="24"/>
          <w:szCs w:val="24"/>
        </w:rPr>
        <w:t xml:space="preserve">δεν μπορεί να υλοποιηθεί </w:t>
      </w:r>
      <w:r w:rsidR="00FF5153" w:rsidRPr="00FF5153">
        <w:rPr>
          <w:rFonts w:ascii="Cambria" w:hAnsi="Cambria"/>
          <w:b/>
          <w:color w:val="244061" w:themeColor="accent1" w:themeShade="80"/>
          <w:sz w:val="24"/>
          <w:szCs w:val="24"/>
        </w:rPr>
        <w:t xml:space="preserve">η δράση </w:t>
      </w:r>
      <w:r w:rsidRPr="00FF5153">
        <w:rPr>
          <w:rFonts w:ascii="Cambria" w:hAnsi="Cambria"/>
          <w:b/>
          <w:color w:val="244061" w:themeColor="accent1" w:themeShade="80"/>
          <w:sz w:val="24"/>
          <w:szCs w:val="24"/>
        </w:rPr>
        <w:t>προτού απ</w:t>
      </w:r>
      <w:r w:rsidR="00FF5153" w:rsidRPr="00FF5153">
        <w:rPr>
          <w:rFonts w:ascii="Cambria" w:hAnsi="Cambria"/>
          <w:b/>
          <w:color w:val="244061" w:themeColor="accent1" w:themeShade="80"/>
          <w:sz w:val="24"/>
          <w:szCs w:val="24"/>
        </w:rPr>
        <w:t>οφανθεί η Επιτροπή</w:t>
      </w:r>
      <w:r w:rsidR="00B62FE6">
        <w:rPr>
          <w:rFonts w:ascii="Cambria" w:hAnsi="Cambria"/>
          <w:b/>
          <w:color w:val="244061" w:themeColor="accent1" w:themeShade="80"/>
          <w:sz w:val="24"/>
          <w:szCs w:val="24"/>
        </w:rPr>
        <w:t xml:space="preserve"> </w:t>
      </w:r>
      <w:r w:rsidR="00B62FE6" w:rsidRPr="00B62FE6">
        <w:rPr>
          <w:rFonts w:ascii="Cambria" w:hAnsi="Cambria"/>
          <w:color w:val="244061" w:themeColor="accent1" w:themeShade="80"/>
          <w:sz w:val="24"/>
          <w:szCs w:val="24"/>
        </w:rPr>
        <w:t>(</w:t>
      </w:r>
      <w:r w:rsidR="00B62FE6">
        <w:rPr>
          <w:rFonts w:ascii="Cambria" w:hAnsi="Cambria"/>
          <w:color w:val="244061" w:themeColor="accent1" w:themeShade="80"/>
          <w:sz w:val="24"/>
          <w:szCs w:val="24"/>
        </w:rPr>
        <w:t>σημείο 36 Κεφάλαιο 2.5 «Κατευθυντήριες γραμμές της Ευρωπαϊκής Ένωσης σχετικά με τις κρατικές ενισχύσεις στο γεωργικό και το δασοκομικό τομέα και στις αγροτικές περιοχές για την περίοδο 2014-2020 (2014/</w:t>
      </w:r>
      <w:r w:rsidR="00B62FE6">
        <w:rPr>
          <w:rFonts w:ascii="Cambria" w:hAnsi="Cambria"/>
          <w:color w:val="244061" w:themeColor="accent1" w:themeShade="80"/>
          <w:sz w:val="24"/>
          <w:szCs w:val="24"/>
          <w:lang w:val="en-US"/>
        </w:rPr>
        <w:t>C</w:t>
      </w:r>
      <w:r w:rsidR="00B62FE6" w:rsidRPr="00B37208">
        <w:rPr>
          <w:rFonts w:ascii="Cambria" w:hAnsi="Cambria"/>
          <w:color w:val="244061" w:themeColor="accent1" w:themeShade="80"/>
          <w:sz w:val="24"/>
          <w:szCs w:val="24"/>
        </w:rPr>
        <w:t xml:space="preserve"> 204/01)</w:t>
      </w:r>
      <w:r w:rsidR="00B62FE6">
        <w:rPr>
          <w:rFonts w:ascii="Cambria" w:hAnsi="Cambria"/>
          <w:color w:val="244061" w:themeColor="accent1" w:themeShade="80"/>
          <w:sz w:val="24"/>
          <w:szCs w:val="24"/>
        </w:rPr>
        <w:t>»</w:t>
      </w:r>
      <w:r w:rsidRPr="00DF56D2">
        <w:rPr>
          <w:rFonts w:ascii="Cambria" w:hAnsi="Cambria"/>
          <w:color w:val="244061" w:themeColor="accent1" w:themeShade="80"/>
          <w:sz w:val="24"/>
          <w:szCs w:val="24"/>
        </w:rPr>
        <w:t>.</w:t>
      </w:r>
    </w:p>
    <w:p w:rsidR="00092E7B" w:rsidRDefault="00092E7B" w:rsidP="00BE1D4A">
      <w:pPr>
        <w:spacing w:after="120" w:line="240" w:lineRule="auto"/>
        <w:jc w:val="both"/>
        <w:rPr>
          <w:rFonts w:ascii="Cambria" w:hAnsi="Cambria"/>
          <w:color w:val="244061" w:themeColor="accent1" w:themeShade="80"/>
          <w:sz w:val="24"/>
          <w:szCs w:val="24"/>
        </w:rPr>
      </w:pPr>
      <w:r w:rsidRPr="001809BE">
        <w:rPr>
          <w:rFonts w:ascii="Cambria" w:hAnsi="Cambria"/>
          <w:color w:val="244061" w:themeColor="accent1" w:themeShade="80"/>
          <w:sz w:val="24"/>
          <w:szCs w:val="24"/>
        </w:rPr>
        <w:t>Ειδικότερα στο σημείο 24 Κεφάλαιο 2.1 «Κατευθυντήριες γραμμές της Ευρωπαϊκής Ένωσης σχετικά με τις κρατικές ενισχύσεις στο γεωργικό και το δασοκομικό τομέα και στις αγροτικές περιοχές για την περίοδο 2014-2020 (2014/C 204/01)» αναφέρεται ότι: «</w:t>
      </w:r>
      <w:r w:rsidR="001809BE" w:rsidRPr="001809BE">
        <w:rPr>
          <w:rFonts w:ascii="Cambria" w:hAnsi="Cambria"/>
          <w:color w:val="244061" w:themeColor="accent1" w:themeShade="80"/>
          <w:sz w:val="24"/>
          <w:szCs w:val="24"/>
        </w:rPr>
        <w:t>Οι ενισχύσεις για τοπική ανάπτυξη στο πλαίσιο του LEADER, η οποία αναφέρεται στο άρθρο 35 του κανονι</w:t>
      </w:r>
      <w:r w:rsidRPr="001809BE">
        <w:rPr>
          <w:rFonts w:ascii="Cambria" w:hAnsi="Cambria"/>
          <w:color w:val="244061" w:themeColor="accent1" w:themeShade="80"/>
          <w:sz w:val="24"/>
          <w:szCs w:val="24"/>
        </w:rPr>
        <w:t>σμού (ΕΕ) αριθ. 1303/2013 και στα άρθρα 42 έως 45 του κανονισμού (ΕΕ) αριθ. 1305/2013 και περιλαμβάνει επιμέρους έργα που εκπονούνται και εκτελούνται στο πλαίσιο τοπικών εταιρικών σχέσεων για την αντιμετώπιση συγκεκριμένων τοπικών προβλημάτων, μπορούν να καλύπτονται από τις παρούσες κατευθυντήριες γραμμές στο βαθμό που πληρούν τις προϋποθέσεις των σχετικών μέτρων αγροτικής ανάπτυξης, που καθορίζονται στις παρούσες κατευθυντήριες γραμμές.</w:t>
      </w:r>
    </w:p>
    <w:p w:rsidR="00DF56D2" w:rsidRPr="00BE1D4A" w:rsidRDefault="00FF5153" w:rsidP="00BE1D4A">
      <w:pPr>
        <w:spacing w:after="120" w:line="240" w:lineRule="auto"/>
        <w:jc w:val="both"/>
        <w:rPr>
          <w:rFonts w:ascii="Cambria" w:hAnsi="Cambria"/>
          <w:i/>
          <w:color w:val="244061" w:themeColor="accent1" w:themeShade="80"/>
          <w:sz w:val="24"/>
          <w:szCs w:val="24"/>
        </w:rPr>
      </w:pPr>
      <w:r w:rsidRPr="00FF5153">
        <w:rPr>
          <w:rFonts w:ascii="Cambria" w:hAnsi="Cambria"/>
          <w:noProof/>
          <w:color w:val="244061" w:themeColor="accent1" w:themeShade="80"/>
          <w:sz w:val="24"/>
          <w:szCs w:val="24"/>
          <w:u w:val="single"/>
          <w:lang w:eastAsia="el-GR"/>
        </w:rPr>
        <w:lastRenderedPageBreak/>
        <mc:AlternateContent>
          <mc:Choice Requires="wps">
            <w:drawing>
              <wp:anchor distT="0" distB="0" distL="114300" distR="114300" simplePos="0" relativeHeight="251658239" behindDoc="1" locked="0" layoutInCell="1" allowOverlap="1" wp14:anchorId="6A8297F5" wp14:editId="2F0C7775">
                <wp:simplePos x="0" y="0"/>
                <wp:positionH relativeFrom="column">
                  <wp:posOffset>-33793</wp:posOffset>
                </wp:positionH>
                <wp:positionV relativeFrom="paragraph">
                  <wp:posOffset>-2540</wp:posOffset>
                </wp:positionV>
                <wp:extent cx="6281033" cy="604299"/>
                <wp:effectExtent l="0" t="0" r="24765" b="24765"/>
                <wp:wrapNone/>
                <wp:docPr id="2" name="Πλαίσιο κειμένου 2"/>
                <wp:cNvGraphicFramePr/>
                <a:graphic xmlns:a="http://schemas.openxmlformats.org/drawingml/2006/main">
                  <a:graphicData uri="http://schemas.microsoft.com/office/word/2010/wordprocessingShape">
                    <wps:wsp>
                      <wps:cNvSpPr txBox="1"/>
                      <wps:spPr>
                        <a:xfrm>
                          <a:off x="0" y="0"/>
                          <a:ext cx="6281033" cy="60429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60B" w:rsidRDefault="00B53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8" type="#_x0000_t202" style="position:absolute;left:0;text-align:left;margin-left:-2.65pt;margin-top:-.2pt;width:494.55pt;height:4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" fillcolor="#dbe5f1 [660]" strokeweight=".5pt">
                <v:textbox>
                  <w:txbxContent>
                    <w:p w:rsidR="00B5360B" w:rsidRDefault="00B5360B"/>
                  </w:txbxContent>
                </v:textbox>
              </v:shape>
            </w:pict>
          </mc:Fallback>
        </mc:AlternateContent>
      </w:r>
      <w:r w:rsidR="00DF56D2" w:rsidRPr="00BE1D4A">
        <w:rPr>
          <w:rFonts w:ascii="Cambria" w:hAnsi="Cambria"/>
          <w:i/>
          <w:color w:val="244061" w:themeColor="accent1" w:themeShade="80"/>
          <w:sz w:val="24"/>
          <w:szCs w:val="24"/>
        </w:rPr>
        <w:t xml:space="preserve">Όσον αφορά στην εφαρμογή των κανόνων περί κρατικών ενισχύσεων και κυρίως τις περιπτώσεις 2 και 3 θα πρέπει να υπάρχει στενή συνεργασία των ΟΤΔ της Ειδικής Υπηρεσίας Διαχείρισης του ΠΑΑ και της Ειδικής Υπηρεσίας Κρατικών ενισχύσεων (ΕΥΚΕ). </w:t>
      </w:r>
    </w:p>
    <w:p w:rsidR="00DF56D2" w:rsidRDefault="00DF56D2" w:rsidP="00BE1D4A">
      <w:pPr>
        <w:pStyle w:val="2"/>
        <w:spacing w:before="0" w:after="120" w:line="240" w:lineRule="auto"/>
        <w:jc w:val="both"/>
      </w:pPr>
      <w:bookmarkStart w:id="7" w:name="_Toc450909667"/>
      <w:r>
        <w:t>Μπορεί μια ΟΤΔ να υλοποιήσει έργα τα οποία δεν έχουν σχέση με την παραγωγή και εμπορία των γεωργικών προϊόντων και δεν πληρούν τις προϋποθέσεις για να εμπίπτουν στο γενικό κανονισμό ήσσονος σημασίας (</w:t>
      </w:r>
      <w:proofErr w:type="spellStart"/>
      <w:r w:rsidRPr="00FF5153">
        <w:t>de</w:t>
      </w:r>
      <w:proofErr w:type="spellEnd"/>
      <w:r w:rsidRPr="00DF56D2">
        <w:t xml:space="preserve"> </w:t>
      </w:r>
      <w:proofErr w:type="spellStart"/>
      <w:r w:rsidRPr="00FF5153">
        <w:t>minimis</w:t>
      </w:r>
      <w:proofErr w:type="spellEnd"/>
      <w:r w:rsidRPr="00DF56D2">
        <w:t xml:space="preserve">) </w:t>
      </w:r>
      <w:r>
        <w:t xml:space="preserve">και το γενικό απαλλακτικό κανονισμό απαλλαγής κατά κατηγορία? Αν ναι θα πρέπει να </w:t>
      </w:r>
      <w:r w:rsidR="00FF5153">
        <w:t>κονιοποιείται</w:t>
      </w:r>
      <w:r>
        <w:t xml:space="preserve"> ξεχωριστά κάθε έργο ή μπορεί να </w:t>
      </w:r>
      <w:r w:rsidR="00FF5153">
        <w:t>ομαδοποιηθούν αυτά στο πλαίσιο ενός συγκεκριμένου συστήματος ενισχύσεων έτσι ώστε να κοινοποιείται μόνο το σύστημα στην Ευρωπαϊκή Επιτροπή?</w:t>
      </w:r>
      <w:bookmarkEnd w:id="7"/>
    </w:p>
    <w:p w:rsidR="00FF5153" w:rsidRPr="00FF5153" w:rsidRDefault="00FF5153" w:rsidP="00BE1D4A">
      <w:pPr>
        <w:spacing w:after="120" w:line="240" w:lineRule="auto"/>
        <w:jc w:val="both"/>
        <w:rPr>
          <w:rFonts w:ascii="Cambria" w:hAnsi="Cambria"/>
          <w:color w:val="244061" w:themeColor="accent1" w:themeShade="80"/>
          <w:sz w:val="24"/>
          <w:szCs w:val="24"/>
        </w:rPr>
      </w:pPr>
      <w:r w:rsidRPr="00FF5153">
        <w:rPr>
          <w:rFonts w:ascii="Cambria" w:hAnsi="Cambria"/>
          <w:color w:val="244061" w:themeColor="accent1" w:themeShade="80"/>
          <w:sz w:val="24"/>
          <w:szCs w:val="24"/>
        </w:rPr>
        <w:t xml:space="preserve">Μπορεί να υλοποιηθούν έργα στο πλαίσιο CLLD/Leader και να χρηματοδοτηθούν από το ΕΓΤΑΑ εφόσον είναι συμβατά με τον κανονισμό (ΕΕ) 1305/2013 ανεξάρτητα με το αν αποτελούν </w:t>
      </w:r>
      <w:r w:rsidR="0051769B">
        <w:rPr>
          <w:rFonts w:ascii="Cambria" w:hAnsi="Cambria"/>
          <w:color w:val="244061" w:themeColor="accent1" w:themeShade="80"/>
          <w:sz w:val="24"/>
          <w:szCs w:val="24"/>
        </w:rPr>
        <w:t xml:space="preserve">ή όχι </w:t>
      </w:r>
      <w:r w:rsidRPr="00FF5153">
        <w:rPr>
          <w:rFonts w:ascii="Cambria" w:hAnsi="Cambria"/>
          <w:color w:val="244061" w:themeColor="accent1" w:themeShade="80"/>
          <w:sz w:val="24"/>
          <w:szCs w:val="24"/>
        </w:rPr>
        <w:t xml:space="preserve">κρατική ενίσχυση. </w:t>
      </w:r>
    </w:p>
    <w:p w:rsidR="00FF5153" w:rsidRDefault="00FF5153" w:rsidP="00BE1D4A">
      <w:pPr>
        <w:spacing w:after="120" w:line="240" w:lineRule="auto"/>
        <w:jc w:val="both"/>
        <w:rPr>
          <w:rFonts w:ascii="Cambria" w:hAnsi="Cambria"/>
          <w:color w:val="244061" w:themeColor="accent1" w:themeShade="80"/>
          <w:sz w:val="24"/>
          <w:szCs w:val="24"/>
        </w:rPr>
      </w:pPr>
      <w:r w:rsidRPr="00FF5153">
        <w:rPr>
          <w:rFonts w:ascii="Cambria" w:hAnsi="Cambria"/>
          <w:color w:val="244061" w:themeColor="accent1" w:themeShade="80"/>
          <w:sz w:val="24"/>
          <w:szCs w:val="24"/>
        </w:rPr>
        <w:t>Εφόσον κάποιο έργο δεν πληροί τις προϋποθέσεις για να εμπίπτει στο γενικό κανονισμό ήσσονος σημασίας (</w:t>
      </w:r>
      <w:proofErr w:type="spellStart"/>
      <w:r w:rsidRPr="00FF5153">
        <w:rPr>
          <w:rFonts w:ascii="Cambria" w:hAnsi="Cambria"/>
          <w:color w:val="244061" w:themeColor="accent1" w:themeShade="80"/>
          <w:sz w:val="24"/>
          <w:szCs w:val="24"/>
        </w:rPr>
        <w:t>de</w:t>
      </w:r>
      <w:proofErr w:type="spellEnd"/>
      <w:r w:rsidRPr="00FF5153">
        <w:rPr>
          <w:rFonts w:ascii="Cambria" w:hAnsi="Cambria"/>
          <w:color w:val="244061" w:themeColor="accent1" w:themeShade="80"/>
          <w:sz w:val="24"/>
          <w:szCs w:val="24"/>
        </w:rPr>
        <w:t xml:space="preserve"> </w:t>
      </w:r>
      <w:proofErr w:type="spellStart"/>
      <w:r w:rsidRPr="00FF5153">
        <w:rPr>
          <w:rFonts w:ascii="Cambria" w:hAnsi="Cambria"/>
          <w:color w:val="244061" w:themeColor="accent1" w:themeShade="80"/>
          <w:sz w:val="24"/>
          <w:szCs w:val="24"/>
        </w:rPr>
        <w:t>minimis</w:t>
      </w:r>
      <w:proofErr w:type="spellEnd"/>
      <w:r w:rsidRPr="00FF5153">
        <w:rPr>
          <w:rFonts w:ascii="Cambria" w:hAnsi="Cambria"/>
          <w:color w:val="244061" w:themeColor="accent1" w:themeShade="80"/>
          <w:sz w:val="24"/>
          <w:szCs w:val="24"/>
        </w:rPr>
        <w:t xml:space="preserve">) και </w:t>
      </w:r>
      <w:r w:rsidR="009C2989">
        <w:rPr>
          <w:rFonts w:ascii="Cambria" w:hAnsi="Cambria"/>
          <w:color w:val="244061" w:themeColor="accent1" w:themeShade="80"/>
          <w:sz w:val="24"/>
          <w:szCs w:val="24"/>
        </w:rPr>
        <w:t xml:space="preserve">τους σχετικούς κανονισμούς </w:t>
      </w:r>
      <w:r w:rsidRPr="00FF5153">
        <w:rPr>
          <w:rFonts w:ascii="Cambria" w:hAnsi="Cambria"/>
          <w:color w:val="244061" w:themeColor="accent1" w:themeShade="80"/>
          <w:sz w:val="24"/>
          <w:szCs w:val="24"/>
        </w:rPr>
        <w:t xml:space="preserve">απαλλαγής κατά κατηγορία τότε θα πρέπει να ακολουθηθεί </w:t>
      </w:r>
      <w:r w:rsidR="00BE1D4A">
        <w:rPr>
          <w:rFonts w:ascii="Cambria" w:hAnsi="Cambria"/>
          <w:color w:val="244061" w:themeColor="accent1" w:themeShade="80"/>
          <w:sz w:val="24"/>
          <w:szCs w:val="24"/>
        </w:rPr>
        <w:t xml:space="preserve">η πολύπλοκη διαδικασία της κοινοποίησης στην Ευρωπαϊκή Επιτροπή. </w:t>
      </w:r>
    </w:p>
    <w:p w:rsidR="00B37208" w:rsidRPr="009C2989" w:rsidRDefault="00B37208"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Στο πλαίσιο αυτό θα πρέπει να διερευνηθεί βάσει ποιών κανόνων κρατικών ενισχύσεων θα κοινοποιηθεί μια δράση. Για παρ</w:t>
      </w:r>
      <w:r w:rsidR="009C2989">
        <w:rPr>
          <w:rFonts w:ascii="Cambria" w:hAnsi="Cambria"/>
          <w:color w:val="244061" w:themeColor="accent1" w:themeShade="80"/>
          <w:sz w:val="24"/>
          <w:szCs w:val="24"/>
        </w:rPr>
        <w:t>άδειγμα</w:t>
      </w:r>
      <w:r w:rsidR="009C2989" w:rsidRPr="009C2989">
        <w:rPr>
          <w:rFonts w:ascii="Cambria" w:hAnsi="Cambria"/>
          <w:color w:val="244061" w:themeColor="accent1" w:themeShade="80"/>
          <w:sz w:val="24"/>
          <w:szCs w:val="24"/>
        </w:rPr>
        <w:t xml:space="preserve"> “</w:t>
      </w:r>
      <w:r>
        <w:rPr>
          <w:rFonts w:ascii="Cambria" w:hAnsi="Cambria"/>
          <w:color w:val="244061" w:themeColor="accent1" w:themeShade="80"/>
          <w:sz w:val="24"/>
          <w:szCs w:val="24"/>
        </w:rPr>
        <w:t>Κατευθυντήριες γραμμές της Ευρωπαϊκής Ένωσης σχετικά με τις κρατικές ενισχύσεις στο γεωργικό και το δασοκομικό τομέα και στις αγροτικές περιοχές για την περίοδο 2014-2020 (2014/</w:t>
      </w:r>
      <w:r>
        <w:rPr>
          <w:rFonts w:ascii="Cambria" w:hAnsi="Cambria"/>
          <w:color w:val="244061" w:themeColor="accent1" w:themeShade="80"/>
          <w:sz w:val="24"/>
          <w:szCs w:val="24"/>
          <w:lang w:val="en-US"/>
        </w:rPr>
        <w:t>C</w:t>
      </w:r>
      <w:r w:rsidRPr="00B37208">
        <w:rPr>
          <w:rFonts w:ascii="Cambria" w:hAnsi="Cambria"/>
          <w:color w:val="244061" w:themeColor="accent1" w:themeShade="80"/>
          <w:sz w:val="24"/>
          <w:szCs w:val="24"/>
        </w:rPr>
        <w:t xml:space="preserve"> 204/01)</w:t>
      </w:r>
      <w:r w:rsidR="009C2989" w:rsidRPr="009C2989">
        <w:rPr>
          <w:rFonts w:ascii="Cambria" w:hAnsi="Cambria"/>
          <w:color w:val="244061" w:themeColor="accent1" w:themeShade="80"/>
          <w:sz w:val="24"/>
          <w:szCs w:val="24"/>
        </w:rPr>
        <w:t>”</w:t>
      </w:r>
      <w:r>
        <w:rPr>
          <w:rStyle w:val="a9"/>
          <w:rFonts w:ascii="Cambria" w:hAnsi="Cambria"/>
          <w:color w:val="244061" w:themeColor="accent1" w:themeShade="80"/>
          <w:sz w:val="24"/>
          <w:szCs w:val="24"/>
        </w:rPr>
        <w:footnoteReference w:id="8"/>
      </w:r>
      <w:r w:rsidR="009C2989" w:rsidRPr="009C2989">
        <w:rPr>
          <w:rFonts w:ascii="Cambria" w:hAnsi="Cambria"/>
          <w:color w:val="244061" w:themeColor="accent1" w:themeShade="80"/>
          <w:sz w:val="24"/>
          <w:szCs w:val="24"/>
        </w:rPr>
        <w:t>.</w:t>
      </w:r>
    </w:p>
    <w:p w:rsidR="0051769B" w:rsidRPr="00B37208" w:rsidRDefault="0051769B" w:rsidP="00BE1D4A">
      <w:pPr>
        <w:spacing w:after="120" w:line="240" w:lineRule="auto"/>
        <w:jc w:val="both"/>
        <w:rPr>
          <w:rFonts w:ascii="Cambria" w:hAnsi="Cambria"/>
          <w:i/>
          <w:color w:val="244061" w:themeColor="accent1" w:themeShade="80"/>
          <w:sz w:val="24"/>
          <w:szCs w:val="24"/>
        </w:rPr>
      </w:pPr>
      <w:r>
        <w:rPr>
          <w:rFonts w:ascii="Cambria" w:hAnsi="Cambria"/>
          <w:color w:val="244061" w:themeColor="accent1" w:themeShade="80"/>
          <w:sz w:val="24"/>
          <w:szCs w:val="24"/>
        </w:rPr>
        <w:t xml:space="preserve">Μπορεί να υπάρξει κοινοποίηση μεμονωμένων έργων αλλά μπορεί να γίνει κοινοποίηση και σε ομάδα ομοειδών έργων στο πλαίσιο ενός καθεστώτος ενίσχυσης. Στο πλαίσιο των κανόνων κρατικών ενισχύσεων, </w:t>
      </w:r>
      <w:r w:rsidRPr="00B37208">
        <w:rPr>
          <w:rFonts w:ascii="Cambria" w:hAnsi="Cambria"/>
          <w:i/>
          <w:color w:val="244061" w:themeColor="accent1" w:themeShade="80"/>
          <w:sz w:val="24"/>
          <w:szCs w:val="24"/>
        </w:rPr>
        <w:t xml:space="preserve">«καθεστώς ενίσχυσης» ορίζεται κάθε πράξη βάσει της οποίας χωρίς να </w:t>
      </w:r>
      <w:r w:rsidR="00B37208" w:rsidRPr="00B37208">
        <w:rPr>
          <w:rFonts w:ascii="Cambria" w:hAnsi="Cambria"/>
          <w:i/>
          <w:color w:val="244061" w:themeColor="accent1" w:themeShade="80"/>
          <w:sz w:val="24"/>
          <w:szCs w:val="24"/>
        </w:rPr>
        <w:t>απαιτούνται</w:t>
      </w:r>
      <w:r w:rsidRPr="00B37208">
        <w:rPr>
          <w:rFonts w:ascii="Cambria" w:hAnsi="Cambria"/>
          <w:i/>
          <w:color w:val="244061" w:themeColor="accent1" w:themeShade="80"/>
          <w:sz w:val="24"/>
          <w:szCs w:val="24"/>
        </w:rPr>
        <w:t xml:space="preserve"> περαιτέρω μέτρα εκτέλεσης, μπορούν να χορηγούνται μεμονωμένες ενισχύσεις σε </w:t>
      </w:r>
      <w:r w:rsidR="00B37208" w:rsidRPr="00B37208">
        <w:rPr>
          <w:rFonts w:ascii="Cambria" w:hAnsi="Cambria"/>
          <w:i/>
          <w:color w:val="244061" w:themeColor="accent1" w:themeShade="80"/>
          <w:sz w:val="24"/>
          <w:szCs w:val="24"/>
        </w:rPr>
        <w:t>επιχειρήσεις</w:t>
      </w:r>
      <w:r w:rsidRPr="00B37208">
        <w:rPr>
          <w:rFonts w:ascii="Cambria" w:hAnsi="Cambria"/>
          <w:i/>
          <w:color w:val="244061" w:themeColor="accent1" w:themeShade="80"/>
          <w:sz w:val="24"/>
          <w:szCs w:val="24"/>
        </w:rPr>
        <w:t xml:space="preserve">, οι οποίες ορίζονται στην εν λόγω πράξη κατά τρόπο γενικό και αφηρημένο και κάθε πράξη βάσει της οποίας μπορεί να χορηγείται ενίσχυση που δεν συνδέεται με συγκεκριμένο </w:t>
      </w:r>
      <w:r w:rsidR="00B37208" w:rsidRPr="00B37208">
        <w:rPr>
          <w:rFonts w:ascii="Cambria" w:hAnsi="Cambria"/>
          <w:i/>
          <w:color w:val="244061" w:themeColor="accent1" w:themeShade="80"/>
          <w:sz w:val="24"/>
          <w:szCs w:val="24"/>
        </w:rPr>
        <w:t xml:space="preserve">έργο </w:t>
      </w:r>
      <w:r w:rsidRPr="00B37208">
        <w:rPr>
          <w:rFonts w:ascii="Cambria" w:hAnsi="Cambria"/>
          <w:i/>
          <w:color w:val="244061" w:themeColor="accent1" w:themeShade="80"/>
          <w:sz w:val="24"/>
          <w:szCs w:val="24"/>
        </w:rPr>
        <w:t>σε μια ή περισσότερες επιχειρήσεις για απροσδιόριστη χρονική περίοδο ή/και απροσδιόριστο ποσό.</w:t>
      </w:r>
    </w:p>
    <w:p w:rsidR="00FD414D" w:rsidRDefault="00A06E3C" w:rsidP="00BE1D4A">
      <w:pPr>
        <w:pStyle w:val="2"/>
        <w:spacing w:before="0" w:after="120" w:line="240" w:lineRule="auto"/>
      </w:pPr>
      <w:bookmarkStart w:id="8" w:name="_Toc450909668"/>
      <w:r>
        <w:t>Γενικά σημεία που πρέπει να έχ</w:t>
      </w:r>
      <w:r w:rsidR="00AE53C6">
        <w:t>ετε</w:t>
      </w:r>
      <w:r>
        <w:t xml:space="preserve"> υπόψη </w:t>
      </w:r>
      <w:r w:rsidR="00AE53C6">
        <w:t>σ</w:t>
      </w:r>
      <w:r>
        <w:t>ας…</w:t>
      </w:r>
      <w:bookmarkEnd w:id="8"/>
    </w:p>
    <w:p w:rsidR="00A06E3C" w:rsidRDefault="00A06E3C"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sidRPr="00A06E3C">
        <w:rPr>
          <w:rFonts w:ascii="Cambria" w:hAnsi="Cambria"/>
          <w:color w:val="244061" w:themeColor="accent1" w:themeShade="80"/>
          <w:sz w:val="24"/>
          <w:szCs w:val="24"/>
        </w:rPr>
        <w:t>Ακόμα και αν νομίζ</w:t>
      </w:r>
      <w:r w:rsidR="00AE53C6">
        <w:rPr>
          <w:rFonts w:ascii="Cambria" w:hAnsi="Cambria"/>
          <w:color w:val="244061" w:themeColor="accent1" w:themeShade="80"/>
          <w:sz w:val="24"/>
          <w:szCs w:val="24"/>
        </w:rPr>
        <w:t>ετε</w:t>
      </w:r>
      <w:r w:rsidRPr="00A06E3C">
        <w:rPr>
          <w:rFonts w:ascii="Cambria" w:hAnsi="Cambria"/>
          <w:color w:val="244061" w:themeColor="accent1" w:themeShade="80"/>
          <w:sz w:val="24"/>
          <w:szCs w:val="24"/>
        </w:rPr>
        <w:t xml:space="preserve"> ότι κάποια ενίσχυση δε θίγει τον ανταγωνισμό ή δεν αποτελεί κρατική ενίσχυση πάντα συμβουλευό</w:t>
      </w:r>
      <w:r w:rsidR="00AE53C6">
        <w:rPr>
          <w:rFonts w:ascii="Cambria" w:hAnsi="Cambria"/>
          <w:color w:val="244061" w:themeColor="accent1" w:themeShade="80"/>
          <w:sz w:val="24"/>
          <w:szCs w:val="24"/>
        </w:rPr>
        <w:t>σ</w:t>
      </w:r>
      <w:r w:rsidRPr="00A06E3C">
        <w:rPr>
          <w:rFonts w:ascii="Cambria" w:hAnsi="Cambria"/>
          <w:color w:val="244061" w:themeColor="accent1" w:themeShade="80"/>
          <w:sz w:val="24"/>
          <w:szCs w:val="24"/>
        </w:rPr>
        <w:t xml:space="preserve">αστε </w:t>
      </w:r>
      <w:r w:rsidR="00AE53C6">
        <w:rPr>
          <w:rFonts w:ascii="Cambria" w:hAnsi="Cambria"/>
          <w:color w:val="244061" w:themeColor="accent1" w:themeShade="80"/>
          <w:sz w:val="24"/>
          <w:szCs w:val="24"/>
        </w:rPr>
        <w:t>την αρμόδια αρχή</w:t>
      </w:r>
      <w:r w:rsidR="00AE53C6">
        <w:rPr>
          <w:rStyle w:val="a9"/>
          <w:rFonts w:ascii="Cambria" w:hAnsi="Cambria"/>
          <w:color w:val="244061" w:themeColor="accent1" w:themeShade="80"/>
          <w:sz w:val="24"/>
          <w:szCs w:val="24"/>
        </w:rPr>
        <w:footnoteReference w:id="9"/>
      </w:r>
      <w:r>
        <w:rPr>
          <w:rFonts w:ascii="Cambria" w:hAnsi="Cambria"/>
          <w:color w:val="244061" w:themeColor="accent1" w:themeShade="80"/>
          <w:sz w:val="24"/>
          <w:szCs w:val="24"/>
        </w:rPr>
        <w:t>.</w:t>
      </w:r>
    </w:p>
    <w:p w:rsidR="00A06E3C" w:rsidRDefault="00A06E3C"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Εάν μια ενίσχυση είναι </w:t>
      </w:r>
      <w:r w:rsidR="00E008F2">
        <w:rPr>
          <w:rFonts w:ascii="Cambria" w:hAnsi="Cambria"/>
          <w:color w:val="244061" w:themeColor="accent1" w:themeShade="80"/>
          <w:sz w:val="24"/>
          <w:szCs w:val="24"/>
        </w:rPr>
        <w:t>«</w:t>
      </w:r>
      <w:r>
        <w:rPr>
          <w:rFonts w:ascii="Cambria" w:hAnsi="Cambria"/>
          <w:color w:val="244061" w:themeColor="accent1" w:themeShade="80"/>
          <w:sz w:val="24"/>
          <w:szCs w:val="24"/>
        </w:rPr>
        <w:t>κρατική ενίσχυση</w:t>
      </w:r>
      <w:r w:rsidR="00E008F2">
        <w:rPr>
          <w:rFonts w:ascii="Cambria" w:hAnsi="Cambria"/>
          <w:color w:val="244061" w:themeColor="accent1" w:themeShade="80"/>
          <w:sz w:val="24"/>
          <w:szCs w:val="24"/>
        </w:rPr>
        <w:t>»</w:t>
      </w:r>
      <w:r>
        <w:rPr>
          <w:rFonts w:ascii="Cambria" w:hAnsi="Cambria"/>
          <w:color w:val="244061" w:themeColor="accent1" w:themeShade="80"/>
          <w:sz w:val="24"/>
          <w:szCs w:val="24"/>
        </w:rPr>
        <w:t xml:space="preserve"> αναζητούμε πάντα τον καλύτερο τρόπο για να χορηγηθεί νόμιμα.</w:t>
      </w:r>
    </w:p>
    <w:p w:rsidR="00A06E3C" w:rsidRPr="00ED6930" w:rsidRDefault="00A06E3C"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Πριν τις πρώτες πληρωμές στους δικαιούχους ελέγχουμε τα ποσοστά ενίσχυσης βάσει των ισχυόντων κανονισμών που καλύπτουν το συγκεκριμένο καθεστώς ενίσχυσης.</w:t>
      </w:r>
    </w:p>
    <w:p w:rsidR="00ED6930" w:rsidRPr="00ED6930" w:rsidRDefault="00ED6930"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Εφόσον σε ένα καθεστώς ενίσχυσης επέλθουν μεταβολές, οι οποίες μπορούν να επηρεάσουν τη συμβατότητα του με τους κανόνες σχετικά με τον ανταγωνισμό, συμβουλευόμαστε την αρμόδια αρχή για το αν μπορεί να συνεχίσει να ισχύει </w:t>
      </w:r>
      <w:r w:rsidR="00AE53C6">
        <w:rPr>
          <w:rFonts w:ascii="Cambria" w:hAnsi="Cambria"/>
          <w:color w:val="244061" w:themeColor="accent1" w:themeShade="80"/>
          <w:sz w:val="24"/>
          <w:szCs w:val="24"/>
        </w:rPr>
        <w:t>με την υφιστάμενη νομική του βάση ή θα πρέπει να υπάρξουν περαιτέρω ενέργειες.</w:t>
      </w:r>
    </w:p>
    <w:p w:rsidR="00A06E3C" w:rsidRDefault="00A96A26"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Οι παρεχόμενες ενισχύσεις εξυπηρετούν ένα σκοπό κοινού συμφέροντος, έχουν σαφή χαρακτήρα κινήτρου, είναι κατάλληλες και αναλογικές, χορηγούνται με απόλυτη διαφάνεια και υπόκεινται σε μηχανισμό ελέγχου και τακτική αξιολόγηση και δεν </w:t>
      </w:r>
      <w:r>
        <w:rPr>
          <w:rFonts w:ascii="Cambria" w:hAnsi="Cambria"/>
          <w:color w:val="244061" w:themeColor="accent1" w:themeShade="80"/>
          <w:sz w:val="24"/>
          <w:szCs w:val="24"/>
        </w:rPr>
        <w:lastRenderedPageBreak/>
        <w:t xml:space="preserve">επηρεάζουν δυσμενώς τους όρους των συναλλαγών σε βαθμό που να αντίκειται προς το κοινό συμφέρον. </w:t>
      </w:r>
    </w:p>
    <w:p w:rsidR="00C11626" w:rsidRDefault="00A96A26"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Δεν χορηγούνται ενισχύσεις</w:t>
      </w:r>
      <w:r w:rsidR="00C11626">
        <w:rPr>
          <w:rFonts w:ascii="Cambria" w:hAnsi="Cambria"/>
          <w:color w:val="244061" w:themeColor="accent1" w:themeShade="80"/>
          <w:sz w:val="24"/>
          <w:szCs w:val="24"/>
        </w:rPr>
        <w:t>:</w:t>
      </w:r>
    </w:p>
    <w:p w:rsidR="00C11626" w:rsidRDefault="00C11626" w:rsidP="00BE1D4A">
      <w:pPr>
        <w:pStyle w:val="aa"/>
        <w:numPr>
          <w:ilvl w:val="1"/>
          <w:numId w:val="18"/>
        </w:numPr>
        <w:spacing w:after="120" w:line="240" w:lineRule="auto"/>
        <w:ind w:left="851" w:hanging="425"/>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w:t>
      </w:r>
      <w:r w:rsidR="00A96A26">
        <w:rPr>
          <w:rFonts w:ascii="Cambria" w:hAnsi="Cambria"/>
          <w:color w:val="244061" w:themeColor="accent1" w:themeShade="80"/>
          <w:sz w:val="24"/>
          <w:szCs w:val="24"/>
        </w:rPr>
        <w:t xml:space="preserve">προβληματικές </w:t>
      </w:r>
      <w:r>
        <w:rPr>
          <w:rFonts w:ascii="Cambria" w:hAnsi="Cambria"/>
          <w:color w:val="244061" w:themeColor="accent1" w:themeShade="80"/>
          <w:sz w:val="24"/>
          <w:szCs w:val="24"/>
        </w:rPr>
        <w:t>επιχειρήσεις</w:t>
      </w:r>
      <w:r w:rsidR="00ED6930">
        <w:rPr>
          <w:rFonts w:ascii="Cambria" w:hAnsi="Cambria"/>
          <w:color w:val="244061" w:themeColor="accent1" w:themeShade="80"/>
          <w:sz w:val="24"/>
          <w:szCs w:val="24"/>
          <w:lang w:val="en-US"/>
        </w:rPr>
        <w:t>,</w:t>
      </w:r>
      <w:r>
        <w:rPr>
          <w:rFonts w:ascii="Cambria" w:hAnsi="Cambria"/>
          <w:color w:val="244061" w:themeColor="accent1" w:themeShade="80"/>
          <w:sz w:val="24"/>
          <w:szCs w:val="24"/>
        </w:rPr>
        <w:t xml:space="preserve"> </w:t>
      </w:r>
    </w:p>
    <w:p w:rsidR="00C11626" w:rsidRDefault="00C11626" w:rsidP="00BE1D4A">
      <w:pPr>
        <w:pStyle w:val="aa"/>
        <w:numPr>
          <w:ilvl w:val="1"/>
          <w:numId w:val="18"/>
        </w:numPr>
        <w:spacing w:after="120" w:line="240" w:lineRule="auto"/>
        <w:ind w:left="851" w:hanging="425"/>
        <w:jc w:val="both"/>
        <w:rPr>
          <w:rFonts w:ascii="Cambria" w:hAnsi="Cambria"/>
          <w:color w:val="244061" w:themeColor="accent1" w:themeShade="80"/>
          <w:sz w:val="24"/>
          <w:szCs w:val="24"/>
        </w:rPr>
      </w:pPr>
      <w:r w:rsidRPr="00C11626">
        <w:rPr>
          <w:rFonts w:ascii="Cambria" w:hAnsi="Cambria"/>
          <w:color w:val="244061" w:themeColor="accent1" w:themeShade="80"/>
          <w:sz w:val="24"/>
          <w:szCs w:val="24"/>
        </w:rPr>
        <w:t>που εξαρτώνται από τη χρήση εγχώριω</w:t>
      </w:r>
      <w:r>
        <w:rPr>
          <w:rFonts w:ascii="Cambria" w:hAnsi="Cambria"/>
          <w:color w:val="244061" w:themeColor="accent1" w:themeShade="80"/>
          <w:sz w:val="24"/>
          <w:szCs w:val="24"/>
        </w:rPr>
        <w:t>ν αντί εισαγόμενων εμπορευμάτων</w:t>
      </w:r>
      <w:r w:rsidR="00ED6930" w:rsidRPr="00ED6930">
        <w:rPr>
          <w:rFonts w:ascii="Cambria" w:hAnsi="Cambria"/>
          <w:color w:val="244061" w:themeColor="accent1" w:themeShade="80"/>
          <w:sz w:val="24"/>
          <w:szCs w:val="24"/>
        </w:rPr>
        <w:t>,</w:t>
      </w:r>
    </w:p>
    <w:p w:rsidR="00C11626" w:rsidRDefault="00C11626" w:rsidP="00BE1D4A">
      <w:pPr>
        <w:pStyle w:val="aa"/>
        <w:numPr>
          <w:ilvl w:val="1"/>
          <w:numId w:val="18"/>
        </w:numPr>
        <w:spacing w:after="120" w:line="240" w:lineRule="auto"/>
        <w:ind w:left="851" w:hanging="425"/>
        <w:jc w:val="both"/>
        <w:rPr>
          <w:rFonts w:ascii="Cambria" w:hAnsi="Cambria"/>
          <w:color w:val="244061" w:themeColor="accent1" w:themeShade="80"/>
          <w:sz w:val="24"/>
          <w:szCs w:val="24"/>
        </w:rPr>
      </w:pPr>
      <w:proofErr w:type="gramStart"/>
      <w:r>
        <w:rPr>
          <w:rFonts w:ascii="Cambria" w:hAnsi="Cambria"/>
          <w:color w:val="244061" w:themeColor="accent1" w:themeShade="80"/>
          <w:sz w:val="24"/>
          <w:szCs w:val="24"/>
          <w:lang w:val="en-US"/>
        </w:rPr>
        <w:t>ad</w:t>
      </w:r>
      <w:proofErr w:type="gramEnd"/>
      <w:r w:rsidRPr="00C11626">
        <w:rPr>
          <w:rFonts w:ascii="Cambria" w:hAnsi="Cambria"/>
          <w:color w:val="244061" w:themeColor="accent1" w:themeShade="80"/>
          <w:sz w:val="24"/>
          <w:szCs w:val="24"/>
        </w:rPr>
        <w:t xml:space="preserve"> </w:t>
      </w:r>
      <w:r>
        <w:rPr>
          <w:rFonts w:ascii="Cambria" w:hAnsi="Cambria"/>
          <w:color w:val="244061" w:themeColor="accent1" w:themeShade="80"/>
          <w:sz w:val="24"/>
          <w:szCs w:val="24"/>
          <w:lang w:val="en-US"/>
        </w:rPr>
        <w:t>hoc</w:t>
      </w:r>
      <w:r>
        <w:rPr>
          <w:rFonts w:ascii="Cambria" w:hAnsi="Cambria"/>
          <w:color w:val="244061" w:themeColor="accent1" w:themeShade="80"/>
          <w:sz w:val="24"/>
          <w:szCs w:val="24"/>
        </w:rPr>
        <w:t xml:space="preserve"> υπέρ επιχειρήσεων κατά των οποίων εκκρεμεί εντολή ανάκτησης εκδοθείσα βάσει προηγούμενης απόφασης της Επιτροπής η οποία κήρυξε μια ενίσχυση παράνομη και ασυμβίβαστη με την εσωτερική αγορά</w:t>
      </w:r>
      <w:r w:rsidR="00ED6930" w:rsidRPr="00ED6930">
        <w:rPr>
          <w:rFonts w:ascii="Cambria" w:hAnsi="Cambria"/>
          <w:color w:val="244061" w:themeColor="accent1" w:themeShade="80"/>
          <w:sz w:val="24"/>
          <w:szCs w:val="24"/>
        </w:rPr>
        <w:t>.</w:t>
      </w:r>
    </w:p>
    <w:p w:rsidR="00ED6930" w:rsidRPr="00EF01CE" w:rsidRDefault="00C11626" w:rsidP="00BE1D4A">
      <w:pPr>
        <w:pStyle w:val="aa"/>
        <w:numPr>
          <w:ilvl w:val="0"/>
          <w:numId w:val="18"/>
        </w:numPr>
        <w:spacing w:after="120" w:line="240" w:lineRule="auto"/>
        <w:ind w:left="426" w:hanging="426"/>
        <w:jc w:val="both"/>
        <w:rPr>
          <w:rFonts w:ascii="Cambria" w:hAnsi="Cambria"/>
          <w:color w:val="244061" w:themeColor="accent1" w:themeShade="80"/>
          <w:sz w:val="24"/>
          <w:szCs w:val="24"/>
        </w:rPr>
      </w:pPr>
      <w:r w:rsidRPr="00EF01CE">
        <w:rPr>
          <w:rFonts w:ascii="Cambria" w:hAnsi="Cambria"/>
          <w:color w:val="244061" w:themeColor="accent1" w:themeShade="80"/>
          <w:sz w:val="24"/>
          <w:szCs w:val="24"/>
        </w:rPr>
        <w:t>Ειδικότερα ο καν. (ΕΕ) 702/2013 χρησιμοποιείται για την</w:t>
      </w:r>
      <w:r w:rsidR="00ED6930" w:rsidRPr="00EF01CE">
        <w:rPr>
          <w:rFonts w:ascii="Cambria" w:hAnsi="Cambria"/>
          <w:color w:val="244061" w:themeColor="accent1" w:themeShade="80"/>
          <w:sz w:val="24"/>
          <w:szCs w:val="24"/>
        </w:rPr>
        <w:t xml:space="preserve"> απαλλαγή από την </w:t>
      </w:r>
      <w:r w:rsidR="00EF01CE" w:rsidRPr="00EF01CE">
        <w:rPr>
          <w:rFonts w:ascii="Cambria" w:hAnsi="Cambria"/>
          <w:color w:val="244061" w:themeColor="accent1" w:themeShade="80"/>
          <w:sz w:val="24"/>
          <w:szCs w:val="24"/>
        </w:rPr>
        <w:t xml:space="preserve">υποχρέωση </w:t>
      </w:r>
      <w:r w:rsidR="00ED6930" w:rsidRPr="00EF01CE">
        <w:rPr>
          <w:rFonts w:ascii="Cambria" w:hAnsi="Cambria"/>
          <w:color w:val="244061" w:themeColor="accent1" w:themeShade="80"/>
          <w:sz w:val="24"/>
          <w:szCs w:val="24"/>
        </w:rPr>
        <w:t>κοινοποίηση</w:t>
      </w:r>
      <w:r w:rsidR="00EF01CE" w:rsidRPr="00EF01CE">
        <w:rPr>
          <w:rFonts w:ascii="Cambria" w:hAnsi="Cambria"/>
          <w:color w:val="244061" w:themeColor="accent1" w:themeShade="80"/>
          <w:sz w:val="24"/>
          <w:szCs w:val="24"/>
        </w:rPr>
        <w:t>ς ε</w:t>
      </w:r>
      <w:r w:rsidR="00ED6930" w:rsidRPr="00EF01CE">
        <w:rPr>
          <w:rFonts w:ascii="Cambria" w:hAnsi="Cambria"/>
          <w:color w:val="244061" w:themeColor="accent1" w:themeShade="80"/>
          <w:sz w:val="24"/>
          <w:szCs w:val="24"/>
        </w:rPr>
        <w:t>νισχύσεων</w:t>
      </w:r>
      <w:r w:rsidR="00EF01CE" w:rsidRPr="00EF01CE">
        <w:rPr>
          <w:rFonts w:ascii="Cambria" w:hAnsi="Cambria"/>
          <w:color w:val="244061" w:themeColor="accent1" w:themeShade="80"/>
          <w:sz w:val="24"/>
          <w:szCs w:val="24"/>
        </w:rPr>
        <w:t xml:space="preserve"> </w:t>
      </w:r>
      <w:r w:rsidR="00ED6930" w:rsidRPr="00EF01CE">
        <w:rPr>
          <w:rFonts w:ascii="Cambria" w:hAnsi="Cambria"/>
          <w:color w:val="244061" w:themeColor="accent1" w:themeShade="80"/>
          <w:sz w:val="24"/>
          <w:szCs w:val="24"/>
        </w:rPr>
        <w:t xml:space="preserve">υπέρ πολύ μικρών, μικρών και μεσαίων επιχειρήσεων (ΜΜΕ) για δραστηριότητες που δεν εμπίπτουν στο πεδίο εφαρμογής του άρθρου 42 της ΣΛΕΕ, εφόσον οι ενισχύσεις χορηγούνται σύμφωνα </w:t>
      </w:r>
      <w:r w:rsidR="00EF01CE" w:rsidRPr="00EF01CE">
        <w:rPr>
          <w:rFonts w:ascii="Cambria" w:hAnsi="Cambria"/>
          <w:color w:val="244061" w:themeColor="accent1" w:themeShade="80"/>
          <w:sz w:val="24"/>
          <w:szCs w:val="24"/>
        </w:rPr>
        <w:t xml:space="preserve">με τον κανονισμό (ΕΕ) 1305/2013, </w:t>
      </w:r>
      <w:r w:rsidR="00ED6930" w:rsidRPr="00EF01CE">
        <w:rPr>
          <w:rFonts w:ascii="Cambria" w:hAnsi="Cambria"/>
          <w:color w:val="244061" w:themeColor="accent1" w:themeShade="80"/>
          <w:sz w:val="24"/>
          <w:szCs w:val="24"/>
        </w:rPr>
        <w:t>συγχρηματοδοτούνται από το ΕΓΤΑΑ</w:t>
      </w:r>
      <w:r w:rsidR="00EF01CE" w:rsidRPr="00EF01CE">
        <w:rPr>
          <w:rFonts w:ascii="Cambria" w:hAnsi="Cambria"/>
          <w:color w:val="244061" w:themeColor="accent1" w:themeShade="80"/>
          <w:sz w:val="24"/>
          <w:szCs w:val="24"/>
        </w:rPr>
        <w:t xml:space="preserve"> και είναι πανομοιότυπες με το </w:t>
      </w:r>
      <w:r w:rsidR="00E008F2">
        <w:rPr>
          <w:rFonts w:ascii="Cambria" w:hAnsi="Cambria"/>
          <w:color w:val="244061" w:themeColor="accent1" w:themeShade="80"/>
          <w:sz w:val="24"/>
          <w:szCs w:val="24"/>
        </w:rPr>
        <w:t xml:space="preserve">σχετικό </w:t>
      </w:r>
      <w:r w:rsidR="00EF01CE" w:rsidRPr="00EF01CE">
        <w:rPr>
          <w:rFonts w:ascii="Cambria" w:hAnsi="Cambria"/>
          <w:color w:val="244061" w:themeColor="accent1" w:themeShade="80"/>
          <w:sz w:val="24"/>
          <w:szCs w:val="24"/>
        </w:rPr>
        <w:t>μέτρο</w:t>
      </w:r>
      <w:r w:rsidR="00E008F2">
        <w:rPr>
          <w:rFonts w:ascii="Cambria" w:hAnsi="Cambria"/>
          <w:color w:val="244061" w:themeColor="accent1" w:themeShade="80"/>
          <w:sz w:val="24"/>
          <w:szCs w:val="24"/>
        </w:rPr>
        <w:t>/δράση</w:t>
      </w:r>
      <w:r w:rsidR="00EF01CE" w:rsidRPr="00EF01CE">
        <w:rPr>
          <w:rFonts w:ascii="Cambria" w:hAnsi="Cambria"/>
          <w:color w:val="244061" w:themeColor="accent1" w:themeShade="80"/>
          <w:sz w:val="24"/>
          <w:szCs w:val="24"/>
        </w:rPr>
        <w:t xml:space="preserve"> αγροτικής ανάπτυξης, το οποίο προβλέπεται στο εγκεκριμένο ΠΑΑ 2014-2020. </w:t>
      </w:r>
    </w:p>
    <w:p w:rsidR="00A96A26" w:rsidRPr="00C11626" w:rsidRDefault="00C11626" w:rsidP="00BE1D4A">
      <w:pPr>
        <w:pStyle w:val="aa"/>
        <w:spacing w:after="120" w:line="240" w:lineRule="auto"/>
        <w:ind w:left="851"/>
        <w:jc w:val="both"/>
        <w:rPr>
          <w:rFonts w:ascii="Cambria" w:hAnsi="Cambria"/>
          <w:color w:val="244061" w:themeColor="accent1" w:themeShade="80"/>
          <w:sz w:val="24"/>
          <w:szCs w:val="24"/>
        </w:rPr>
      </w:pPr>
      <w:r w:rsidRPr="00C11626">
        <w:rPr>
          <w:rFonts w:ascii="Cambria" w:hAnsi="Cambria"/>
          <w:color w:val="244061" w:themeColor="accent1" w:themeShade="80"/>
          <w:sz w:val="24"/>
          <w:szCs w:val="24"/>
        </w:rPr>
        <w:t xml:space="preserve">  </w:t>
      </w:r>
    </w:p>
    <w:p w:rsidR="002B2421" w:rsidRDefault="002B2421">
      <w:pPr>
        <w:rPr>
          <w:rFonts w:asciiTheme="majorHAnsi" w:eastAsiaTheme="majorEastAsia" w:hAnsiTheme="majorHAnsi" w:cstheme="majorBidi"/>
          <w:b/>
          <w:bCs/>
          <w:color w:val="365F91" w:themeColor="accent1" w:themeShade="BF"/>
          <w:sz w:val="28"/>
          <w:szCs w:val="28"/>
        </w:rPr>
      </w:pPr>
      <w:r>
        <w:br w:type="page"/>
      </w:r>
    </w:p>
    <w:p w:rsidR="00D0423E" w:rsidRDefault="00BE030B" w:rsidP="00BE1D4A">
      <w:pPr>
        <w:pStyle w:val="1"/>
        <w:spacing w:before="0" w:after="120" w:line="240" w:lineRule="auto"/>
        <w:jc w:val="center"/>
      </w:pPr>
      <w:bookmarkStart w:id="9" w:name="_Toc450909669"/>
      <w:r>
        <w:lastRenderedPageBreak/>
        <w:t xml:space="preserve">ΕΝΔΕΙΚΤΙΚΕΣ </w:t>
      </w:r>
      <w:r w:rsidR="00D0423E">
        <w:t>ΔΡΑΣΕΙΣ ΣΤΡΑΤΗΓΙΚΩΝ ΤΟΠΙΚΗΣ ΑΝΑΠΤΥΞΗΣ ΜΕ ΠΡΩΤΟΒΟΥΛΙΑ ΤΟΠΙΚΩΝ ΚΟΙΝΟΤΗΤΩΝ</w:t>
      </w:r>
      <w:r>
        <w:t xml:space="preserve"> &amp; ΑΝΤΙΣΤΟΙΧΑ ΠΟΣΟΣΤΑ ΕΝΙΣΧΥΣΗΣ ΔΙΚΑΙΟΥΧΩΝ</w:t>
      </w:r>
      <w:bookmarkEnd w:id="9"/>
    </w:p>
    <w:p w:rsidR="00D0423E" w:rsidRDefault="0035040E" w:rsidP="00BE1D4A">
      <w:pPr>
        <w:pStyle w:val="2"/>
        <w:spacing w:before="0" w:after="120" w:line="240" w:lineRule="auto"/>
      </w:pPr>
      <w:bookmarkStart w:id="10" w:name="_Toc450909670"/>
      <w:r>
        <w:t>19.2.1: ΔΡΑΣΕΙΣ ΜΕΤΑΦΟΡΑΣ ΓΝΩΣΕΩΝ &amp; ΕΝΗΜΕΡΩΣΗΣ</w:t>
      </w:r>
      <w:bookmarkEnd w:id="10"/>
    </w:p>
    <w:p w:rsidR="0035040E" w:rsidRDefault="0035040E" w:rsidP="00BE1D4A">
      <w:pPr>
        <w:spacing w:after="120" w:line="240" w:lineRule="auto"/>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14 καν. (ΕΕ) 1305/2013</w:t>
      </w:r>
    </w:p>
    <w:p w:rsidR="0035040E" w:rsidRPr="007911DB" w:rsidRDefault="0035040E" w:rsidP="00BE1D4A">
      <w:pPr>
        <w:pStyle w:val="3"/>
        <w:spacing w:before="0" w:after="120" w:line="240" w:lineRule="auto"/>
        <w:jc w:val="both"/>
        <w:rPr>
          <w:color w:val="244061" w:themeColor="accent1" w:themeShade="80"/>
          <w:sz w:val="24"/>
          <w:szCs w:val="24"/>
        </w:rPr>
      </w:pPr>
      <w:bookmarkStart w:id="11" w:name="_Toc450909671"/>
      <w:r w:rsidRPr="007911DB">
        <w:rPr>
          <w:color w:val="244061" w:themeColor="accent1" w:themeShade="80"/>
          <w:sz w:val="24"/>
          <w:szCs w:val="24"/>
        </w:rPr>
        <w:t>19.2.1.1: Στήριξη για δράσεις επαγγελματικής κατάρτισης &amp; απόκτησης δεξιοτήτων</w:t>
      </w:r>
      <w:bookmarkEnd w:id="11"/>
    </w:p>
    <w:p w:rsidR="0035040E" w:rsidRPr="007911DB" w:rsidRDefault="0035040E" w:rsidP="00BE1D4A">
      <w:pPr>
        <w:pStyle w:val="3"/>
        <w:spacing w:before="0" w:after="120" w:line="240" w:lineRule="auto"/>
        <w:jc w:val="both"/>
        <w:rPr>
          <w:color w:val="244061" w:themeColor="accent1" w:themeShade="80"/>
          <w:sz w:val="24"/>
          <w:szCs w:val="24"/>
        </w:rPr>
      </w:pPr>
      <w:bookmarkStart w:id="12" w:name="_Toc450909672"/>
      <w:r w:rsidRPr="007911DB">
        <w:rPr>
          <w:color w:val="244061" w:themeColor="accent1" w:themeShade="80"/>
          <w:sz w:val="24"/>
          <w:szCs w:val="24"/>
        </w:rPr>
        <w:t>19.2.1.2: Στήριξη για δραστηριότητες επίδειξης &amp; δράσεις ενημέρωσης</w:t>
      </w:r>
      <w:bookmarkEnd w:id="12"/>
    </w:p>
    <w:p w:rsidR="0035040E" w:rsidRPr="007911DB" w:rsidRDefault="0035040E" w:rsidP="00BE1D4A">
      <w:pPr>
        <w:pStyle w:val="3"/>
        <w:spacing w:before="0" w:after="120" w:line="240" w:lineRule="auto"/>
        <w:jc w:val="both"/>
        <w:rPr>
          <w:color w:val="244061" w:themeColor="accent1" w:themeShade="80"/>
          <w:sz w:val="24"/>
          <w:szCs w:val="24"/>
        </w:rPr>
      </w:pPr>
      <w:bookmarkStart w:id="13" w:name="_Toc450909673"/>
      <w:r w:rsidRPr="007911DB">
        <w:rPr>
          <w:color w:val="244061" w:themeColor="accent1" w:themeShade="80"/>
          <w:sz w:val="24"/>
          <w:szCs w:val="24"/>
        </w:rPr>
        <w:t>19.2.1.3: Στήριξη για βραχυπρόθεσμες ανταλλαγές για διαχείριση γεωργικών εκμεταλλεύσεων &amp; δασών καθώς και για επισκέψεις σε γεωργικές εκμεταλλεύσεις &amp; δάση</w:t>
      </w:r>
      <w:bookmarkEnd w:id="13"/>
    </w:p>
    <w:p w:rsidR="00B5360B" w:rsidRPr="00A3196D" w:rsidRDefault="00B5360B" w:rsidP="00B5360B">
      <w:pPr>
        <w:pStyle w:val="aa"/>
        <w:numPr>
          <w:ilvl w:val="0"/>
          <w:numId w:val="7"/>
        </w:numPr>
        <w:spacing w:after="120" w:line="240" w:lineRule="auto"/>
        <w:ind w:left="426" w:hanging="426"/>
        <w:jc w:val="both"/>
        <w:rPr>
          <w:rFonts w:ascii="Cambria" w:hAnsi="Cambria"/>
          <w:color w:val="244061" w:themeColor="accent1" w:themeShade="80"/>
          <w:sz w:val="24"/>
          <w:szCs w:val="24"/>
        </w:rPr>
      </w:pPr>
      <w:r w:rsidRPr="00A3196D">
        <w:rPr>
          <w:rFonts w:ascii="Cambria" w:hAnsi="Cambria"/>
          <w:color w:val="244061" w:themeColor="accent1" w:themeShade="80"/>
          <w:sz w:val="24"/>
          <w:szCs w:val="24"/>
        </w:rPr>
        <w:t>Όταν οι δράσεις αφορούν ωφελούμενους που δραστηριοποιούνται στο γεωργικό τομέα</w:t>
      </w:r>
      <w:r>
        <w:rPr>
          <w:rStyle w:val="a9"/>
          <w:rFonts w:ascii="Cambria" w:hAnsi="Cambria"/>
          <w:color w:val="244061" w:themeColor="accent1" w:themeShade="80"/>
          <w:sz w:val="24"/>
          <w:szCs w:val="24"/>
        </w:rPr>
        <w:footnoteReference w:id="10"/>
      </w:r>
      <w:r w:rsidRPr="00A3196D">
        <w:rPr>
          <w:rFonts w:ascii="Cambria" w:hAnsi="Cambria"/>
          <w:color w:val="244061" w:themeColor="accent1" w:themeShade="80"/>
          <w:sz w:val="24"/>
          <w:szCs w:val="24"/>
        </w:rPr>
        <w:t xml:space="preserve">, η στήριξη δεν ακολουθεί τους κανόνες περί κρατικών ενισχύσεων και απαλλάσσεται από την υποχρέωση  κοινοποίησης. Η ένταση ενίσχυσης ανέρχεται έως 100% των επιλέξιμων δαπανών. </w:t>
      </w:r>
    </w:p>
    <w:p w:rsidR="00B5360B" w:rsidRDefault="00B5360B" w:rsidP="00B5360B">
      <w:pPr>
        <w:pStyle w:val="aa"/>
        <w:numPr>
          <w:ilvl w:val="0"/>
          <w:numId w:val="7"/>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Όταν οι δράσεις αφορούν ωφελούμενους ΜΜΕ αγροτικών περιοχών, η παρεχόμενη στήριξη χορηγείται βάσει του άρθρου 47 καν. (ΕΕ) 702/2014, ως ακολούθως:</w:t>
      </w:r>
    </w:p>
    <w:p w:rsidR="00B5360B" w:rsidRPr="00BF3EE9" w:rsidRDefault="00B5360B" w:rsidP="00B5360B">
      <w:pPr>
        <w:pStyle w:val="aa"/>
        <w:numPr>
          <w:ilvl w:val="0"/>
          <w:numId w:val="2"/>
        </w:numPr>
        <w:spacing w:after="120" w:line="240" w:lineRule="auto"/>
        <w:ind w:left="851" w:hanging="425"/>
        <w:jc w:val="both"/>
        <w:rPr>
          <w:rFonts w:ascii="Cambria" w:hAnsi="Cambria"/>
          <w:color w:val="244061" w:themeColor="accent1" w:themeShade="80"/>
          <w:sz w:val="24"/>
          <w:szCs w:val="24"/>
        </w:rPr>
      </w:pPr>
      <w:r w:rsidRPr="00BF3EE9">
        <w:rPr>
          <w:rFonts w:ascii="Cambria" w:hAnsi="Cambria"/>
          <w:color w:val="244061" w:themeColor="accent1" w:themeShade="80"/>
          <w:sz w:val="24"/>
          <w:szCs w:val="24"/>
        </w:rPr>
        <w:t xml:space="preserve">60% των επιλέξιμων δαπανών για μεσαίες επιχειρήσεις </w:t>
      </w:r>
    </w:p>
    <w:p w:rsidR="00B5360B" w:rsidRDefault="00B5360B" w:rsidP="00B5360B">
      <w:pPr>
        <w:pStyle w:val="aa"/>
        <w:numPr>
          <w:ilvl w:val="0"/>
          <w:numId w:val="2"/>
        </w:numPr>
        <w:spacing w:after="120" w:line="240" w:lineRule="auto"/>
        <w:ind w:left="851" w:hanging="425"/>
        <w:jc w:val="both"/>
        <w:rPr>
          <w:rFonts w:ascii="Cambria" w:hAnsi="Cambria"/>
          <w:color w:val="244061" w:themeColor="accent1" w:themeShade="80"/>
          <w:sz w:val="24"/>
          <w:szCs w:val="24"/>
        </w:rPr>
      </w:pPr>
      <w:r w:rsidRPr="00BF3EE9">
        <w:rPr>
          <w:rFonts w:ascii="Cambria" w:hAnsi="Cambria"/>
          <w:color w:val="244061" w:themeColor="accent1" w:themeShade="80"/>
          <w:sz w:val="24"/>
          <w:szCs w:val="24"/>
        </w:rPr>
        <w:t>70% των επιλέξιμων δαπανών για πολύ μικρές και μικρές επιχειρήσεις</w:t>
      </w:r>
    </w:p>
    <w:p w:rsidR="00B5360B" w:rsidRDefault="00B5360B" w:rsidP="00B5360B">
      <w:pPr>
        <w:spacing w:after="120" w:line="240" w:lineRule="auto"/>
        <w:ind w:left="426"/>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Η στήριξη για δράσεις με προϋπολογισμό έως και 20.000€ δύναται να χορηγηθεί βάσει του καν. (ΕΕ) 1407/2013 (γενικός </w:t>
      </w:r>
      <w:r>
        <w:rPr>
          <w:rFonts w:ascii="Cambria" w:hAnsi="Cambria"/>
          <w:color w:val="244061" w:themeColor="accent1" w:themeShade="80"/>
          <w:sz w:val="24"/>
          <w:szCs w:val="24"/>
          <w:lang w:val="en-US"/>
        </w:rPr>
        <w:t>de</w:t>
      </w:r>
      <w:r w:rsidRPr="00F91353">
        <w:rPr>
          <w:rFonts w:ascii="Cambria" w:hAnsi="Cambria"/>
          <w:color w:val="244061" w:themeColor="accent1" w:themeShade="80"/>
          <w:sz w:val="24"/>
          <w:szCs w:val="24"/>
        </w:rPr>
        <w:t xml:space="preserve"> </w:t>
      </w:r>
      <w:proofErr w:type="spellStart"/>
      <w:r>
        <w:rPr>
          <w:rFonts w:ascii="Cambria" w:hAnsi="Cambria"/>
          <w:color w:val="244061" w:themeColor="accent1" w:themeShade="80"/>
          <w:sz w:val="24"/>
          <w:szCs w:val="24"/>
          <w:lang w:val="en-US"/>
        </w:rPr>
        <w:t>minimis</w:t>
      </w:r>
      <w:proofErr w:type="spellEnd"/>
      <w:r w:rsidRPr="00F91353">
        <w:rPr>
          <w:rFonts w:ascii="Cambria" w:hAnsi="Cambria"/>
          <w:color w:val="244061" w:themeColor="accent1" w:themeShade="80"/>
          <w:sz w:val="24"/>
          <w:szCs w:val="24"/>
        </w:rPr>
        <w:t>)</w:t>
      </w:r>
      <w:r>
        <w:rPr>
          <w:rFonts w:ascii="Cambria" w:hAnsi="Cambria"/>
          <w:color w:val="244061" w:themeColor="accent1" w:themeShade="80"/>
          <w:sz w:val="24"/>
          <w:szCs w:val="24"/>
        </w:rPr>
        <w:t>,</w:t>
      </w:r>
      <w:r w:rsidRPr="00F91353">
        <w:rPr>
          <w:rFonts w:ascii="Cambria" w:hAnsi="Cambria"/>
          <w:color w:val="244061" w:themeColor="accent1" w:themeShade="80"/>
          <w:sz w:val="24"/>
          <w:szCs w:val="24"/>
        </w:rPr>
        <w:t xml:space="preserve"> </w:t>
      </w:r>
      <w:r>
        <w:rPr>
          <w:rFonts w:ascii="Cambria" w:hAnsi="Cambria"/>
          <w:color w:val="244061" w:themeColor="accent1" w:themeShade="80"/>
          <w:sz w:val="24"/>
          <w:szCs w:val="24"/>
        </w:rPr>
        <w:t xml:space="preserve">με ένταση ενίσχυσης 100%. </w:t>
      </w:r>
    </w:p>
    <w:p w:rsidR="00B5360B" w:rsidRPr="00D8363B" w:rsidRDefault="00B5360B" w:rsidP="00B5360B">
      <w:pPr>
        <w:pStyle w:val="aa"/>
        <w:numPr>
          <w:ilvl w:val="0"/>
          <w:numId w:val="7"/>
        </w:numPr>
        <w:spacing w:after="120" w:line="240" w:lineRule="auto"/>
        <w:ind w:left="426" w:hanging="426"/>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Όταν οι δράσεις αφορούν ωφελούμενους που δραστηριοποιούνται στο δασικό τομέα, η στήριξη χορηγείται βάσει του άρθρου 38 καν. (ΕΕ) 702/2014, με ένταση ενίσχυσης έως 100% των επιλέξιμων δαπανών.  </w:t>
      </w:r>
    </w:p>
    <w:p w:rsidR="0035040E" w:rsidRDefault="00D8363B" w:rsidP="00BE1D4A">
      <w:pPr>
        <w:pStyle w:val="2"/>
        <w:spacing w:before="0" w:after="120" w:line="240" w:lineRule="auto"/>
        <w:jc w:val="both"/>
      </w:pPr>
      <w:bookmarkStart w:id="14" w:name="_Toc450909674"/>
      <w:r>
        <w:t>19.2.2: ΣΤΗΡΙΞΗ ΓΙΑ ΕΠΕΝΔΥΣΕΙΣ ΣΤΗ ΜΕΤΑΠΟΙΗΣΗ ΕΜΠΟΡΙΑ ΚΑΙ/Ή ΑΝΑΠΤΥΞΗ ΓΕΩΡΓΙΚΩΝ ΠΡΟΪΟΝΤΩΝ</w:t>
      </w:r>
      <w:r w:rsidR="00B5360B">
        <w:rPr>
          <w:rStyle w:val="a9"/>
        </w:rPr>
        <w:footnoteReference w:id="11"/>
      </w:r>
      <w:bookmarkEnd w:id="14"/>
    </w:p>
    <w:p w:rsidR="00D8363B" w:rsidRDefault="00D8363B" w:rsidP="00BE1D4A">
      <w:pPr>
        <w:spacing w:after="120" w:line="240" w:lineRule="auto"/>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17</w:t>
      </w:r>
      <w:r w:rsidR="00B27DE4">
        <w:rPr>
          <w:rFonts w:ascii="Cambria" w:hAnsi="Cambria"/>
          <w:color w:val="244061" w:themeColor="accent1" w:themeShade="80"/>
          <w:sz w:val="24"/>
          <w:szCs w:val="24"/>
        </w:rPr>
        <w:t>§1β</w:t>
      </w:r>
      <w:r>
        <w:rPr>
          <w:rFonts w:ascii="Cambria" w:hAnsi="Cambria"/>
          <w:color w:val="244061" w:themeColor="accent1" w:themeShade="80"/>
          <w:sz w:val="24"/>
          <w:szCs w:val="24"/>
        </w:rPr>
        <w:t xml:space="preserve"> καν. (ΕΕ) 1305/2013</w:t>
      </w:r>
    </w:p>
    <w:p w:rsidR="00D8363B" w:rsidRPr="00220E33" w:rsidRDefault="00D8363B" w:rsidP="00BE1D4A">
      <w:pPr>
        <w:spacing w:after="120" w:line="240" w:lineRule="auto"/>
        <w:jc w:val="both"/>
        <w:rPr>
          <w:rFonts w:ascii="Cambria" w:hAnsi="Cambria"/>
          <w:b/>
          <w:color w:val="244061" w:themeColor="accent1" w:themeShade="80"/>
          <w:sz w:val="24"/>
          <w:szCs w:val="24"/>
        </w:rPr>
      </w:pPr>
      <w:r w:rsidRPr="007911DB">
        <w:rPr>
          <w:rFonts w:asciiTheme="majorHAnsi" w:eastAsiaTheme="majorEastAsia" w:hAnsiTheme="majorHAnsi" w:cstheme="majorBidi"/>
          <w:b/>
          <w:bCs/>
          <w:color w:val="244061" w:themeColor="accent1" w:themeShade="80"/>
          <w:sz w:val="24"/>
          <w:szCs w:val="24"/>
        </w:rPr>
        <w:t>19.2.2.1: Μεταποίηση, εμπορία και/ή ανάπτυξη γεωργικών προϊόντων με αποτέλεσμα γεωργικό προϊόν</w:t>
      </w:r>
      <w:r w:rsidRPr="00220E33">
        <w:rPr>
          <w:rStyle w:val="a9"/>
          <w:rFonts w:ascii="Cambria" w:hAnsi="Cambria"/>
          <w:b/>
          <w:color w:val="244061" w:themeColor="accent1" w:themeShade="80"/>
          <w:sz w:val="24"/>
          <w:szCs w:val="24"/>
        </w:rPr>
        <w:footnoteReference w:id="12"/>
      </w:r>
    </w:p>
    <w:p w:rsidR="00220E33" w:rsidRDefault="00220E33"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Η παρεχόμενη στήριξη δεν ακολουθεί τους κανόνες περί κρατικών ενισχύσεων και απαλλάσσεται από την υποχρέωση  κοινοποίησης. Τα ποσοστά στήριξης χορηγούνται βάσει του παραρτήματος ΙΙ καν. (ΕΕ) 1305/2013 ως ακολούθως:</w:t>
      </w:r>
    </w:p>
    <w:p w:rsidR="00220E33" w:rsidRDefault="00220E33" w:rsidP="00BE1D4A">
      <w:pPr>
        <w:pStyle w:val="aa"/>
        <w:numPr>
          <w:ilvl w:val="0"/>
          <w:numId w:val="4"/>
        </w:numPr>
        <w:spacing w:after="120" w:line="240" w:lineRule="auto"/>
        <w:ind w:left="284" w:hanging="284"/>
        <w:jc w:val="both"/>
        <w:rPr>
          <w:rFonts w:ascii="Cambria" w:hAnsi="Cambria"/>
          <w:color w:val="244061" w:themeColor="accent1" w:themeShade="80"/>
          <w:sz w:val="24"/>
          <w:szCs w:val="24"/>
        </w:rPr>
      </w:pPr>
      <w:r w:rsidRPr="00220E33">
        <w:rPr>
          <w:rFonts w:ascii="Cambria" w:hAnsi="Cambria"/>
          <w:color w:val="244061" w:themeColor="accent1" w:themeShade="80"/>
          <w:sz w:val="24"/>
          <w:szCs w:val="24"/>
        </w:rPr>
        <w:t xml:space="preserve">50% επιλέξιμων επενδύσεων </w:t>
      </w:r>
      <w:r w:rsidR="00E1325A">
        <w:rPr>
          <w:rFonts w:ascii="Cambria" w:hAnsi="Cambria"/>
          <w:color w:val="244061" w:themeColor="accent1" w:themeShade="80"/>
          <w:sz w:val="24"/>
          <w:szCs w:val="24"/>
        </w:rPr>
        <w:t>σ</w:t>
      </w:r>
      <w:r>
        <w:rPr>
          <w:rFonts w:ascii="Cambria" w:hAnsi="Cambria"/>
          <w:color w:val="244061" w:themeColor="accent1" w:themeShade="80"/>
          <w:sz w:val="24"/>
          <w:szCs w:val="24"/>
        </w:rPr>
        <w:t xml:space="preserve">τις περιφέρειες </w:t>
      </w:r>
      <w:r w:rsidRPr="00220E33">
        <w:rPr>
          <w:rFonts w:ascii="Cambria" w:hAnsi="Cambria"/>
          <w:color w:val="244061" w:themeColor="accent1" w:themeShade="80"/>
          <w:sz w:val="24"/>
          <w:szCs w:val="24"/>
        </w:rPr>
        <w:t>Δυτική</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Ελλάδα</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Θεσσαλία</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w:t>
      </w:r>
      <w:r>
        <w:rPr>
          <w:rFonts w:ascii="Cambria" w:hAnsi="Cambria"/>
          <w:color w:val="244061" w:themeColor="accent1" w:themeShade="80"/>
          <w:sz w:val="24"/>
          <w:szCs w:val="24"/>
        </w:rPr>
        <w:t>Η</w:t>
      </w:r>
      <w:r w:rsidRPr="00220E33">
        <w:rPr>
          <w:rFonts w:ascii="Cambria" w:hAnsi="Cambria"/>
          <w:color w:val="244061" w:themeColor="accent1" w:themeShade="80"/>
          <w:sz w:val="24"/>
          <w:szCs w:val="24"/>
        </w:rPr>
        <w:t>πε</w:t>
      </w:r>
      <w:r>
        <w:rPr>
          <w:rFonts w:ascii="Cambria" w:hAnsi="Cambria"/>
          <w:color w:val="244061" w:themeColor="accent1" w:themeShade="80"/>
          <w:sz w:val="24"/>
          <w:szCs w:val="24"/>
        </w:rPr>
        <w:t>ί</w:t>
      </w:r>
      <w:r w:rsidRPr="00220E33">
        <w:rPr>
          <w:rFonts w:ascii="Cambria" w:hAnsi="Cambria"/>
          <w:color w:val="244061" w:themeColor="accent1" w:themeShade="80"/>
          <w:sz w:val="24"/>
          <w:szCs w:val="24"/>
        </w:rPr>
        <w:t>ρο</w:t>
      </w:r>
      <w:r>
        <w:rPr>
          <w:rFonts w:ascii="Cambria" w:hAnsi="Cambria"/>
          <w:color w:val="244061" w:themeColor="accent1" w:themeShade="80"/>
          <w:sz w:val="24"/>
          <w:szCs w:val="24"/>
        </w:rPr>
        <w:t>υ</w:t>
      </w:r>
      <w:r w:rsidRPr="00220E33">
        <w:rPr>
          <w:rFonts w:ascii="Cambria" w:hAnsi="Cambria"/>
          <w:color w:val="244061" w:themeColor="accent1" w:themeShade="80"/>
          <w:sz w:val="24"/>
          <w:szCs w:val="24"/>
        </w:rPr>
        <w:t>, Κεντρική</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Μακεδονία</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Ανατολική</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Μακεδονία</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&amp; Θράκη</w:t>
      </w:r>
      <w:r>
        <w:rPr>
          <w:rFonts w:ascii="Cambria" w:hAnsi="Cambria"/>
          <w:color w:val="244061" w:themeColor="accent1" w:themeShade="80"/>
          <w:sz w:val="24"/>
          <w:szCs w:val="24"/>
        </w:rPr>
        <w:t>ς</w:t>
      </w:r>
      <w:r w:rsidRPr="00220E33">
        <w:rPr>
          <w:rFonts w:ascii="Cambria" w:hAnsi="Cambria"/>
          <w:color w:val="244061" w:themeColor="accent1" w:themeShade="80"/>
          <w:sz w:val="24"/>
          <w:szCs w:val="24"/>
        </w:rPr>
        <w:t xml:space="preserve">, </w:t>
      </w:r>
      <w:r>
        <w:rPr>
          <w:rFonts w:ascii="Cambria" w:hAnsi="Cambria"/>
          <w:color w:val="244061" w:themeColor="accent1" w:themeShade="80"/>
          <w:sz w:val="24"/>
          <w:szCs w:val="24"/>
        </w:rPr>
        <w:t>Ιονίων Νήσων</w:t>
      </w:r>
      <w:r w:rsidRPr="00220E33">
        <w:rPr>
          <w:rFonts w:ascii="Cambria" w:hAnsi="Cambria"/>
          <w:color w:val="244061" w:themeColor="accent1" w:themeShade="80"/>
          <w:sz w:val="24"/>
          <w:szCs w:val="24"/>
        </w:rPr>
        <w:t>, Πελοπ</w:t>
      </w:r>
      <w:r>
        <w:rPr>
          <w:rFonts w:ascii="Cambria" w:hAnsi="Cambria"/>
          <w:color w:val="244061" w:themeColor="accent1" w:themeShade="80"/>
          <w:sz w:val="24"/>
          <w:szCs w:val="24"/>
        </w:rPr>
        <w:t>οννήσου</w:t>
      </w:r>
      <w:r w:rsidRPr="00220E33">
        <w:rPr>
          <w:rFonts w:ascii="Cambria" w:hAnsi="Cambria"/>
          <w:color w:val="244061" w:themeColor="accent1" w:themeShade="80"/>
          <w:sz w:val="24"/>
          <w:szCs w:val="24"/>
        </w:rPr>
        <w:t>, Κρήτη</w:t>
      </w:r>
      <w:r>
        <w:rPr>
          <w:rFonts w:ascii="Cambria" w:hAnsi="Cambria"/>
          <w:color w:val="244061" w:themeColor="accent1" w:themeShade="80"/>
          <w:sz w:val="24"/>
          <w:szCs w:val="24"/>
        </w:rPr>
        <w:t>ς</w:t>
      </w:r>
    </w:p>
    <w:p w:rsidR="00B27DE4" w:rsidRDefault="00B27DE4" w:rsidP="00BE1D4A">
      <w:pPr>
        <w:pStyle w:val="aa"/>
        <w:numPr>
          <w:ilvl w:val="0"/>
          <w:numId w:val="4"/>
        </w:numPr>
        <w:spacing w:after="120" w:line="240" w:lineRule="auto"/>
        <w:ind w:left="284" w:hanging="284"/>
        <w:jc w:val="both"/>
        <w:rPr>
          <w:rFonts w:ascii="Cambria" w:hAnsi="Cambria"/>
          <w:color w:val="244061" w:themeColor="accent1" w:themeShade="80"/>
          <w:sz w:val="24"/>
          <w:szCs w:val="24"/>
        </w:rPr>
      </w:pPr>
      <w:r w:rsidRPr="00B27DE4">
        <w:rPr>
          <w:rFonts w:ascii="Cambria" w:hAnsi="Cambria"/>
          <w:color w:val="244061" w:themeColor="accent1" w:themeShade="80"/>
          <w:sz w:val="24"/>
          <w:szCs w:val="24"/>
        </w:rPr>
        <w:t>75% των επιλέξιμων δαπανών στα μικρά νησιά του Αιγαίου</w:t>
      </w:r>
      <w:r w:rsidRPr="00B27DE4">
        <w:rPr>
          <w:rFonts w:ascii="Cambria" w:hAnsi="Cambria"/>
          <w:color w:val="244061" w:themeColor="accent1" w:themeShade="80"/>
          <w:sz w:val="24"/>
          <w:szCs w:val="24"/>
          <w:vertAlign w:val="superscript"/>
        </w:rPr>
        <w:footnoteReference w:id="13"/>
      </w:r>
    </w:p>
    <w:p w:rsidR="00B27DE4" w:rsidRDefault="00B27DE4" w:rsidP="00BE1D4A">
      <w:pPr>
        <w:pStyle w:val="aa"/>
        <w:numPr>
          <w:ilvl w:val="0"/>
          <w:numId w:val="4"/>
        </w:numPr>
        <w:spacing w:after="120" w:line="240" w:lineRule="auto"/>
        <w:ind w:left="284" w:hanging="284"/>
        <w:jc w:val="both"/>
        <w:rPr>
          <w:rFonts w:ascii="Cambria" w:hAnsi="Cambria"/>
          <w:color w:val="244061" w:themeColor="accent1" w:themeShade="80"/>
          <w:sz w:val="24"/>
          <w:szCs w:val="24"/>
        </w:rPr>
      </w:pPr>
      <w:r w:rsidRPr="00B27DE4">
        <w:rPr>
          <w:rFonts w:ascii="Cambria" w:hAnsi="Cambria"/>
          <w:color w:val="244061" w:themeColor="accent1" w:themeShade="80"/>
          <w:sz w:val="24"/>
          <w:szCs w:val="24"/>
        </w:rPr>
        <w:lastRenderedPageBreak/>
        <w:t>40% των επιλέξιμων δαπανών στις περιφέρειες</w:t>
      </w:r>
      <w:r>
        <w:rPr>
          <w:rFonts w:ascii="Cambria" w:hAnsi="Cambria"/>
          <w:color w:val="244061" w:themeColor="accent1" w:themeShade="80"/>
          <w:sz w:val="24"/>
          <w:szCs w:val="24"/>
        </w:rPr>
        <w:t xml:space="preserve"> Στερεάς Ελλάδας, Δυτικής Μακεδονίας και Αττικής</w:t>
      </w:r>
    </w:p>
    <w:p w:rsidR="00B27DE4" w:rsidRPr="00B27DE4" w:rsidRDefault="00B27DE4" w:rsidP="00BE1D4A">
      <w:pPr>
        <w:spacing w:after="120" w:line="240" w:lineRule="auto"/>
        <w:jc w:val="both"/>
        <w:rPr>
          <w:rFonts w:ascii="Cambria" w:hAnsi="Cambria"/>
          <w:color w:val="244061" w:themeColor="accent1" w:themeShade="80"/>
          <w:sz w:val="24"/>
          <w:szCs w:val="24"/>
        </w:rPr>
      </w:pPr>
      <w:r w:rsidRPr="00B27DE4">
        <w:rPr>
          <w:rFonts w:ascii="Cambria" w:hAnsi="Cambria"/>
          <w:color w:val="244061" w:themeColor="accent1" w:themeShade="80"/>
          <w:sz w:val="24"/>
          <w:szCs w:val="24"/>
        </w:rPr>
        <w:t>Τα ανωτέρω ποσοστά μπορούν να προσαυξηθούν κατά 20%, υπό τον όρο ότι η ανώτατη συνδυασμένη στήριξη δεν υπερβαίνει το 90% για δράσεις που λαμβάνουν στήριξη στο πλαίσιο των ΕΣΚ ή για δράσεις που συνδέονται με συγχωνεύσεις οργανώσεων παραγωγών.</w:t>
      </w:r>
    </w:p>
    <w:p w:rsidR="00D8363B" w:rsidRDefault="00D8363B" w:rsidP="00BE1D4A">
      <w:pPr>
        <w:pStyle w:val="3"/>
        <w:spacing w:before="0" w:after="120" w:line="240" w:lineRule="auto"/>
        <w:jc w:val="both"/>
        <w:rPr>
          <w:color w:val="244061" w:themeColor="accent1" w:themeShade="80"/>
          <w:sz w:val="24"/>
          <w:szCs w:val="24"/>
        </w:rPr>
      </w:pPr>
      <w:bookmarkStart w:id="15" w:name="_Toc450909675"/>
      <w:r w:rsidRPr="007911DB">
        <w:rPr>
          <w:color w:val="244061" w:themeColor="accent1" w:themeShade="80"/>
          <w:sz w:val="24"/>
          <w:szCs w:val="24"/>
        </w:rPr>
        <w:t>19.2.2.2:</w:t>
      </w:r>
      <w:r w:rsidR="00220E33" w:rsidRPr="007911DB">
        <w:rPr>
          <w:color w:val="244061" w:themeColor="accent1" w:themeShade="80"/>
          <w:sz w:val="24"/>
          <w:szCs w:val="24"/>
        </w:rPr>
        <w:t xml:space="preserve"> Μεταποίηση, εμπορία και/ή ανάπτυξη γεωργικών προϊόντων με αποτέλεσμα μη γεωργικό προϊόν</w:t>
      </w:r>
      <w:bookmarkEnd w:id="15"/>
    </w:p>
    <w:p w:rsidR="00B5360B" w:rsidRDefault="00B5360B" w:rsidP="00B5360B">
      <w:pPr>
        <w:spacing w:after="120" w:line="240" w:lineRule="auto"/>
        <w:jc w:val="both"/>
        <w:rPr>
          <w:rFonts w:ascii="Cambria" w:hAnsi="Cambria"/>
          <w:color w:val="244061" w:themeColor="accent1" w:themeShade="80"/>
          <w:sz w:val="24"/>
          <w:szCs w:val="24"/>
        </w:rPr>
      </w:pPr>
      <w:r w:rsidRPr="00F91353">
        <w:rPr>
          <w:rFonts w:ascii="Cambria" w:hAnsi="Cambria"/>
          <w:color w:val="244061" w:themeColor="accent1" w:themeShade="80"/>
          <w:sz w:val="24"/>
          <w:szCs w:val="24"/>
        </w:rPr>
        <w:t xml:space="preserve">Η στήριξη </w:t>
      </w:r>
      <w:r>
        <w:rPr>
          <w:rFonts w:ascii="Cambria" w:hAnsi="Cambria"/>
          <w:color w:val="244061" w:themeColor="accent1" w:themeShade="80"/>
          <w:sz w:val="24"/>
          <w:szCs w:val="24"/>
        </w:rPr>
        <w:t xml:space="preserve">για επενδύσεις της παρούσας δράσης σε ΜΜΕ χορηγείται, βάσει του άρθρου 44 του καν. (ΕΕ) 702/2014, εφόσον αυτή χορηγείται στο πλαίσιο του ΠΑΑ 2014-2020 και αφορά δράση πανομοιότυπη με το σχετικό μέτρο του εγκεκριμένου Προγράμματος. </w:t>
      </w:r>
    </w:p>
    <w:p w:rsidR="009256C2" w:rsidRPr="0034310F" w:rsidRDefault="000F447B"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Η ένταση ενίσχυσης περιορίζεται στα κατωτέρω ποσοστά:</w:t>
      </w:r>
    </w:p>
    <w:tbl>
      <w:tblPr>
        <w:tblStyle w:val="ab"/>
        <w:tblW w:w="0" w:type="auto"/>
        <w:tblLook w:val="04A0" w:firstRow="1" w:lastRow="0" w:firstColumn="1" w:lastColumn="0" w:noHBand="0" w:noVBand="1"/>
      </w:tblPr>
      <w:tblGrid>
        <w:gridCol w:w="1897"/>
        <w:gridCol w:w="123"/>
        <w:gridCol w:w="1774"/>
        <w:gridCol w:w="1984"/>
        <w:gridCol w:w="2127"/>
        <w:gridCol w:w="2057"/>
      </w:tblGrid>
      <w:tr w:rsidR="00D26E47" w:rsidTr="001C7E71">
        <w:trPr>
          <w:trHeight w:val="461"/>
        </w:trPr>
        <w:tc>
          <w:tcPr>
            <w:tcW w:w="3794" w:type="dxa"/>
            <w:gridSpan w:val="3"/>
            <w:vMerge w:val="restart"/>
            <w:shd w:val="clear" w:color="auto" w:fill="BFBFBF" w:themeFill="background1" w:themeFillShade="BF"/>
            <w:vAlign w:val="center"/>
          </w:tcPr>
          <w:p w:rsidR="00D26E47" w:rsidRPr="00F1441F" w:rsidRDefault="00D26E47" w:rsidP="00BE1D4A">
            <w:pPr>
              <w:spacing w:after="120"/>
              <w:jc w:val="center"/>
              <w:rPr>
                <w:rFonts w:ascii="Cambria" w:hAnsi="Cambria"/>
                <w:b/>
                <w:color w:val="244061" w:themeColor="accent1" w:themeShade="80"/>
                <w:sz w:val="24"/>
                <w:szCs w:val="24"/>
                <w:lang w:val="en-US"/>
              </w:rPr>
            </w:pPr>
            <w:r w:rsidRPr="00F1441F">
              <w:rPr>
                <w:rFonts w:ascii="Cambria" w:hAnsi="Cambria"/>
                <w:b/>
                <w:color w:val="244061" w:themeColor="accent1" w:themeShade="80"/>
                <w:sz w:val="24"/>
                <w:szCs w:val="24"/>
              </w:rPr>
              <w:t xml:space="preserve">Περιφέρειες </w:t>
            </w:r>
            <w:r w:rsidRPr="00F1441F">
              <w:rPr>
                <w:rFonts w:ascii="Cambria" w:hAnsi="Cambria"/>
                <w:b/>
                <w:color w:val="244061" w:themeColor="accent1" w:themeShade="80"/>
                <w:sz w:val="24"/>
                <w:szCs w:val="24"/>
                <w:lang w:val="en-US"/>
              </w:rPr>
              <w:t>NUTS2</w:t>
            </w:r>
          </w:p>
        </w:tc>
        <w:tc>
          <w:tcPr>
            <w:tcW w:w="4111" w:type="dxa"/>
            <w:gridSpan w:val="2"/>
            <w:shd w:val="clear" w:color="auto" w:fill="BFBFBF" w:themeFill="background1" w:themeFillShade="BF"/>
            <w:vAlign w:val="center"/>
          </w:tcPr>
          <w:p w:rsidR="00D26E47" w:rsidRPr="00F1441F" w:rsidRDefault="00D26E47" w:rsidP="002B2421">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Μέγιστες εντάσεις ενίσχυσης σε ΜΜΕ</w:t>
            </w:r>
            <w:r>
              <w:rPr>
                <w:rFonts w:ascii="Cambria" w:hAnsi="Cambria"/>
                <w:b/>
                <w:color w:val="244061" w:themeColor="accent1" w:themeShade="80"/>
                <w:sz w:val="24"/>
                <w:szCs w:val="24"/>
              </w:rPr>
              <w:t xml:space="preserve"> </w:t>
            </w:r>
            <w:r w:rsidR="00B5360B">
              <w:rPr>
                <w:rFonts w:ascii="Cambria" w:hAnsi="Cambria"/>
                <w:b/>
                <w:color w:val="244061" w:themeColor="accent1" w:themeShade="80"/>
                <w:sz w:val="24"/>
                <w:szCs w:val="24"/>
              </w:rPr>
              <w:t>βάσει άρθρου 44 Καν. (ΕΕ) 702/2014</w:t>
            </w:r>
          </w:p>
        </w:tc>
        <w:tc>
          <w:tcPr>
            <w:tcW w:w="2057" w:type="dxa"/>
            <w:vMerge w:val="restart"/>
            <w:shd w:val="clear" w:color="auto" w:fill="BFBFBF" w:themeFill="background1" w:themeFillShade="BF"/>
            <w:vAlign w:val="center"/>
          </w:tcPr>
          <w:p w:rsidR="00D26E47" w:rsidRPr="00B27ACA" w:rsidRDefault="00D26E47" w:rsidP="00BE1D4A">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Μέγιστες εντάσεις ενίσχυσης σε ΜΜΕ</w:t>
            </w:r>
            <w:r>
              <w:rPr>
                <w:rFonts w:ascii="Cambria" w:hAnsi="Cambria"/>
                <w:b/>
                <w:color w:val="244061" w:themeColor="accent1" w:themeShade="80"/>
                <w:sz w:val="24"/>
                <w:szCs w:val="24"/>
              </w:rPr>
              <w:t xml:space="preserve"> βάσει καν. (ΕΕ) 1407/2013 (γενικός </w:t>
            </w:r>
            <w:r>
              <w:rPr>
                <w:rFonts w:ascii="Cambria" w:hAnsi="Cambria"/>
                <w:b/>
                <w:color w:val="244061" w:themeColor="accent1" w:themeShade="80"/>
                <w:sz w:val="24"/>
                <w:szCs w:val="24"/>
                <w:lang w:val="en-US"/>
              </w:rPr>
              <w:t>de</w:t>
            </w:r>
            <w:r w:rsidRPr="00B27ACA">
              <w:rPr>
                <w:rFonts w:ascii="Cambria" w:hAnsi="Cambria"/>
                <w:b/>
                <w:color w:val="244061" w:themeColor="accent1" w:themeShade="80"/>
                <w:sz w:val="24"/>
                <w:szCs w:val="24"/>
              </w:rPr>
              <w:t xml:space="preserve"> </w:t>
            </w:r>
            <w:proofErr w:type="spellStart"/>
            <w:r>
              <w:rPr>
                <w:rFonts w:ascii="Cambria" w:hAnsi="Cambria"/>
                <w:b/>
                <w:color w:val="244061" w:themeColor="accent1" w:themeShade="80"/>
                <w:sz w:val="24"/>
                <w:szCs w:val="24"/>
                <w:lang w:val="en-US"/>
              </w:rPr>
              <w:t>minimis</w:t>
            </w:r>
            <w:proofErr w:type="spellEnd"/>
            <w:r w:rsidRPr="00B27ACA">
              <w:rPr>
                <w:rFonts w:ascii="Cambria" w:hAnsi="Cambria"/>
                <w:b/>
                <w:color w:val="244061" w:themeColor="accent1" w:themeShade="80"/>
                <w:sz w:val="24"/>
                <w:szCs w:val="24"/>
              </w:rPr>
              <w:t>)</w:t>
            </w:r>
          </w:p>
        </w:tc>
      </w:tr>
      <w:tr w:rsidR="00D26E47" w:rsidTr="001C7E71">
        <w:tc>
          <w:tcPr>
            <w:tcW w:w="3794" w:type="dxa"/>
            <w:gridSpan w:val="3"/>
            <w:vMerge/>
            <w:vAlign w:val="center"/>
          </w:tcPr>
          <w:p w:rsidR="00D26E47" w:rsidRPr="00F1441F" w:rsidRDefault="00D26E47" w:rsidP="00BE1D4A">
            <w:pPr>
              <w:spacing w:after="120"/>
              <w:jc w:val="center"/>
              <w:rPr>
                <w:rFonts w:ascii="Cambria" w:hAnsi="Cambria"/>
                <w:b/>
                <w:color w:val="244061" w:themeColor="accent1" w:themeShade="80"/>
                <w:sz w:val="24"/>
                <w:szCs w:val="24"/>
              </w:rPr>
            </w:pPr>
          </w:p>
        </w:tc>
        <w:tc>
          <w:tcPr>
            <w:tcW w:w="1984" w:type="dxa"/>
            <w:vAlign w:val="center"/>
          </w:tcPr>
          <w:p w:rsidR="00D26E47" w:rsidRPr="00F1441F" w:rsidRDefault="00D26E47" w:rsidP="00BE1D4A">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Μεσαίες επιχειρήσεις</w:t>
            </w:r>
          </w:p>
        </w:tc>
        <w:tc>
          <w:tcPr>
            <w:tcW w:w="2127" w:type="dxa"/>
            <w:vAlign w:val="center"/>
          </w:tcPr>
          <w:p w:rsidR="00D26E47" w:rsidRPr="00F1441F" w:rsidRDefault="00D26E47" w:rsidP="00BE1D4A">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Μικρές και πολύ μικρές επιχειρήσεις</w:t>
            </w:r>
          </w:p>
        </w:tc>
        <w:tc>
          <w:tcPr>
            <w:tcW w:w="2057" w:type="dxa"/>
            <w:vMerge/>
            <w:vAlign w:val="center"/>
          </w:tcPr>
          <w:p w:rsidR="00D26E47" w:rsidRPr="00F1441F" w:rsidRDefault="00D26E47" w:rsidP="00BE1D4A">
            <w:pPr>
              <w:spacing w:after="120"/>
              <w:jc w:val="center"/>
              <w:rPr>
                <w:rFonts w:ascii="Cambria" w:hAnsi="Cambria"/>
                <w:b/>
                <w:color w:val="244061" w:themeColor="accent1" w:themeShade="80"/>
                <w:sz w:val="24"/>
                <w:szCs w:val="24"/>
              </w:rPr>
            </w:pPr>
          </w:p>
        </w:tc>
      </w:tr>
      <w:tr w:rsidR="00D26E47" w:rsidTr="001C7E71">
        <w:trPr>
          <w:trHeight w:val="563"/>
        </w:trPr>
        <w:tc>
          <w:tcPr>
            <w:tcW w:w="2020" w:type="dxa"/>
            <w:gridSpan w:val="2"/>
            <w:vAlign w:val="center"/>
          </w:tcPr>
          <w:p w:rsidR="00D26E47" w:rsidRPr="00F1441F" w:rsidRDefault="00D26E47" w:rsidP="00BE1D4A">
            <w:pPr>
              <w:spacing w:after="120"/>
              <w:jc w:val="center"/>
              <w:rPr>
                <w:rFonts w:ascii="Cambria" w:hAnsi="Cambria"/>
                <w:b/>
                <w:color w:val="244061" w:themeColor="accent1" w:themeShade="80"/>
                <w:sz w:val="24"/>
                <w:szCs w:val="24"/>
              </w:rPr>
            </w:pPr>
          </w:p>
        </w:tc>
        <w:tc>
          <w:tcPr>
            <w:tcW w:w="1774" w:type="dxa"/>
            <w:vAlign w:val="center"/>
          </w:tcPr>
          <w:p w:rsidR="00D26E47" w:rsidRPr="00F1441F" w:rsidRDefault="00D26E47" w:rsidP="00BE1D4A">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 xml:space="preserve">Περιφέρειες </w:t>
            </w:r>
            <w:r w:rsidRPr="00F1441F">
              <w:rPr>
                <w:rFonts w:ascii="Cambria" w:hAnsi="Cambria"/>
                <w:b/>
                <w:color w:val="244061" w:themeColor="accent1" w:themeShade="80"/>
                <w:sz w:val="24"/>
                <w:szCs w:val="24"/>
                <w:lang w:val="en-US"/>
              </w:rPr>
              <w:t>NUTS</w:t>
            </w:r>
            <w:r w:rsidRPr="00D26E47">
              <w:rPr>
                <w:rFonts w:ascii="Cambria" w:hAnsi="Cambria"/>
                <w:b/>
                <w:color w:val="244061" w:themeColor="accent1" w:themeShade="80"/>
                <w:sz w:val="24"/>
                <w:szCs w:val="24"/>
              </w:rPr>
              <w:t>3</w:t>
            </w:r>
          </w:p>
        </w:tc>
        <w:tc>
          <w:tcPr>
            <w:tcW w:w="6168" w:type="dxa"/>
            <w:gridSpan w:val="3"/>
            <w:vAlign w:val="center"/>
          </w:tcPr>
          <w:p w:rsidR="00D26E47" w:rsidRDefault="00D26E47" w:rsidP="00BE1D4A">
            <w:pPr>
              <w:spacing w:after="120"/>
              <w:jc w:val="center"/>
              <w:rPr>
                <w:rFonts w:ascii="Cambria" w:hAnsi="Cambria"/>
                <w:b/>
                <w:color w:val="244061" w:themeColor="accent1" w:themeShade="80"/>
                <w:sz w:val="24"/>
                <w:szCs w:val="24"/>
              </w:rPr>
            </w:pPr>
            <w:r>
              <w:rPr>
                <w:rFonts w:ascii="Cambria" w:hAnsi="Cambria"/>
                <w:b/>
                <w:color w:val="244061" w:themeColor="accent1" w:themeShade="80"/>
                <w:sz w:val="24"/>
                <w:szCs w:val="24"/>
              </w:rPr>
              <w:t>% των επιλέξιμων δαπανών</w:t>
            </w:r>
          </w:p>
        </w:tc>
      </w:tr>
      <w:tr w:rsidR="0018229B" w:rsidTr="00534276">
        <w:tc>
          <w:tcPr>
            <w:tcW w:w="7905" w:type="dxa"/>
            <w:gridSpan w:val="5"/>
            <w:shd w:val="clear" w:color="auto" w:fill="D9D9D9" w:themeFill="background1" w:themeFillShade="D9"/>
            <w:vAlign w:val="center"/>
          </w:tcPr>
          <w:p w:rsidR="0018229B" w:rsidRPr="00534276" w:rsidRDefault="0018229B" w:rsidP="00BE1D4A">
            <w:pPr>
              <w:spacing w:after="120"/>
              <w:jc w:val="center"/>
              <w:rPr>
                <w:rFonts w:ascii="Cambria" w:hAnsi="Cambria"/>
                <w:color w:val="244061" w:themeColor="accent1" w:themeShade="80"/>
                <w:sz w:val="24"/>
                <w:szCs w:val="24"/>
              </w:rPr>
            </w:pPr>
            <w:r w:rsidRPr="00534276">
              <w:rPr>
                <w:rFonts w:ascii="Cambria" w:hAnsi="Cambria"/>
                <w:color w:val="244061" w:themeColor="accent1" w:themeShade="80"/>
                <w:sz w:val="24"/>
                <w:szCs w:val="24"/>
              </w:rPr>
              <w:t xml:space="preserve">Λιγότερο ανεπτυγμένες περιφέρειες με κατά κεφαλή </w:t>
            </w:r>
            <w:r w:rsidR="00534276" w:rsidRPr="00534276">
              <w:rPr>
                <w:rFonts w:ascii="Cambria" w:hAnsi="Cambria"/>
                <w:color w:val="244061" w:themeColor="accent1" w:themeShade="80"/>
                <w:sz w:val="24"/>
                <w:szCs w:val="24"/>
              </w:rPr>
              <w:t>ΑΕΠ υψηλότερο του 60% του μέσου όρου της ΕΕ-27</w:t>
            </w:r>
          </w:p>
        </w:tc>
        <w:tc>
          <w:tcPr>
            <w:tcW w:w="2057" w:type="dxa"/>
            <w:vMerge w:val="restart"/>
            <w:vAlign w:val="center"/>
          </w:tcPr>
          <w:p w:rsidR="0018229B" w:rsidRPr="00A3196D" w:rsidRDefault="00BE030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Χ</w:t>
            </w:r>
            <w:r w:rsidR="00A3196D" w:rsidRPr="00A3196D">
              <w:rPr>
                <w:rFonts w:ascii="Cambria" w:hAnsi="Cambria"/>
                <w:color w:val="244061" w:themeColor="accent1" w:themeShade="80"/>
                <w:sz w:val="24"/>
                <w:szCs w:val="24"/>
              </w:rPr>
              <w:t xml:space="preserve">ρήση </w:t>
            </w:r>
            <w:r w:rsidR="00B5360B">
              <w:rPr>
                <w:rFonts w:ascii="Cambria" w:hAnsi="Cambria"/>
                <w:color w:val="244061" w:themeColor="accent1" w:themeShade="80"/>
                <w:sz w:val="24"/>
                <w:szCs w:val="24"/>
              </w:rPr>
              <w:t xml:space="preserve">γενικού </w:t>
            </w:r>
            <w:r w:rsidR="00A3196D" w:rsidRPr="00A3196D">
              <w:rPr>
                <w:rFonts w:ascii="Cambria" w:hAnsi="Cambria"/>
                <w:color w:val="244061" w:themeColor="accent1" w:themeShade="80"/>
                <w:sz w:val="24"/>
                <w:szCs w:val="24"/>
                <w:lang w:val="en-US"/>
              </w:rPr>
              <w:t>de</w:t>
            </w:r>
            <w:r w:rsidR="00A3196D" w:rsidRPr="00A3196D">
              <w:rPr>
                <w:rFonts w:ascii="Cambria" w:hAnsi="Cambria"/>
                <w:color w:val="244061" w:themeColor="accent1" w:themeShade="80"/>
                <w:sz w:val="24"/>
                <w:szCs w:val="24"/>
              </w:rPr>
              <w:t xml:space="preserve"> </w:t>
            </w:r>
            <w:proofErr w:type="spellStart"/>
            <w:r w:rsidR="00A3196D" w:rsidRPr="00A3196D">
              <w:rPr>
                <w:rFonts w:ascii="Cambria" w:hAnsi="Cambria"/>
                <w:color w:val="244061" w:themeColor="accent1" w:themeShade="80"/>
                <w:sz w:val="24"/>
                <w:szCs w:val="24"/>
                <w:lang w:val="en-US"/>
              </w:rPr>
              <w:t>minimis</w:t>
            </w:r>
            <w:proofErr w:type="spellEnd"/>
            <w:r w:rsidR="00D034CC">
              <w:rPr>
                <w:rFonts w:ascii="Cambria" w:hAnsi="Cambria"/>
                <w:color w:val="244061" w:themeColor="accent1" w:themeShade="80"/>
                <w:sz w:val="24"/>
                <w:szCs w:val="24"/>
              </w:rPr>
              <w:t xml:space="preserve"> με ποσοστό </w:t>
            </w:r>
            <w:r w:rsidR="00A3196D" w:rsidRPr="00A3196D">
              <w:rPr>
                <w:rFonts w:ascii="Cambria" w:hAnsi="Cambria"/>
                <w:color w:val="244061" w:themeColor="accent1" w:themeShade="80"/>
                <w:sz w:val="24"/>
                <w:szCs w:val="24"/>
              </w:rPr>
              <w:t xml:space="preserve"> </w:t>
            </w:r>
            <w:r w:rsidR="00C61EE2">
              <w:rPr>
                <w:rFonts w:ascii="Cambria" w:hAnsi="Cambria"/>
                <w:color w:val="244061" w:themeColor="accent1" w:themeShade="80"/>
                <w:sz w:val="24"/>
                <w:szCs w:val="24"/>
              </w:rPr>
              <w:t xml:space="preserve">έως και </w:t>
            </w:r>
            <w:r w:rsidR="00B5360B">
              <w:rPr>
                <w:rFonts w:ascii="Cambria" w:hAnsi="Cambria"/>
                <w:color w:val="244061" w:themeColor="accent1" w:themeShade="80"/>
                <w:sz w:val="24"/>
                <w:szCs w:val="24"/>
              </w:rPr>
              <w:t>60</w:t>
            </w:r>
            <w:r w:rsidR="00C61EE2" w:rsidRPr="00BE030B">
              <w:rPr>
                <w:rFonts w:ascii="Cambria" w:hAnsi="Cambria"/>
                <w:color w:val="244061" w:themeColor="accent1" w:themeShade="80"/>
                <w:sz w:val="24"/>
                <w:szCs w:val="24"/>
              </w:rPr>
              <w:t>%</w:t>
            </w:r>
            <w:r w:rsidR="009D10C3">
              <w:rPr>
                <w:rFonts w:ascii="Cambria" w:hAnsi="Cambria"/>
                <w:color w:val="244061" w:themeColor="accent1" w:themeShade="80"/>
                <w:sz w:val="24"/>
                <w:szCs w:val="24"/>
              </w:rPr>
              <w:t xml:space="preserve"> </w:t>
            </w:r>
            <w:r w:rsidR="00B5360B">
              <w:rPr>
                <w:rFonts w:ascii="Cambria" w:hAnsi="Cambria"/>
                <w:color w:val="244061" w:themeColor="accent1" w:themeShade="80"/>
                <w:sz w:val="24"/>
                <w:szCs w:val="24"/>
              </w:rPr>
              <w:t>των επιλέξιμων δαπανών</w:t>
            </w:r>
            <w:r w:rsidR="00C61EE2" w:rsidRPr="00BE030B">
              <w:rPr>
                <w:rFonts w:ascii="Cambria" w:hAnsi="Cambria"/>
                <w:color w:val="244061" w:themeColor="accent1" w:themeShade="80"/>
                <w:sz w:val="24"/>
                <w:szCs w:val="24"/>
              </w:rPr>
              <w:t>,</w:t>
            </w:r>
            <w:r w:rsidR="00C61EE2">
              <w:rPr>
                <w:rFonts w:ascii="Cambria" w:hAnsi="Cambria"/>
                <w:color w:val="244061" w:themeColor="accent1" w:themeShade="80"/>
                <w:sz w:val="24"/>
                <w:szCs w:val="24"/>
              </w:rPr>
              <w:t xml:space="preserve"> εφόσον αιτιολογείται από την τοπική στρατηγική</w:t>
            </w:r>
            <w:r w:rsidR="00B5360B">
              <w:rPr>
                <w:rStyle w:val="a9"/>
                <w:rFonts w:ascii="Cambria" w:hAnsi="Cambria"/>
                <w:color w:val="244061" w:themeColor="accent1" w:themeShade="80"/>
                <w:sz w:val="24"/>
                <w:szCs w:val="24"/>
              </w:rPr>
              <w:footnoteReference w:id="14"/>
            </w:r>
            <w:r w:rsidR="00C61EE2">
              <w:rPr>
                <w:rFonts w:ascii="Cambria" w:hAnsi="Cambria"/>
                <w:color w:val="244061" w:themeColor="accent1" w:themeShade="80"/>
                <w:sz w:val="24"/>
                <w:szCs w:val="24"/>
              </w:rPr>
              <w:t>.</w:t>
            </w:r>
          </w:p>
          <w:p w:rsidR="00A3196D" w:rsidRPr="00A3196D" w:rsidRDefault="00A3196D"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Ανατολικής Μακεδονίας &amp; Θράκης</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Κεντρικής Μακεδονίας</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Θεσσαλίας</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Ηπείρου</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Δυτικής Ελλάδας</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Πελοποννήσου</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534276">
        <w:tc>
          <w:tcPr>
            <w:tcW w:w="3794" w:type="dxa"/>
            <w:gridSpan w:val="3"/>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Βορείου Αιγαίου</w:t>
            </w:r>
          </w:p>
        </w:tc>
        <w:tc>
          <w:tcPr>
            <w:tcW w:w="1984" w:type="dxa"/>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534276">
        <w:tc>
          <w:tcPr>
            <w:tcW w:w="7905" w:type="dxa"/>
            <w:gridSpan w:val="5"/>
            <w:shd w:val="clear" w:color="auto" w:fill="D9D9D9" w:themeFill="background1" w:themeFillShade="D9"/>
            <w:vAlign w:val="center"/>
          </w:tcPr>
          <w:p w:rsidR="0018229B" w:rsidRP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Περιοχές «γ» αραιοκατοικημένες περιοχές και σε περιφέρειες </w:t>
            </w:r>
            <w:r>
              <w:rPr>
                <w:rFonts w:ascii="Cambria" w:hAnsi="Cambria"/>
                <w:color w:val="244061" w:themeColor="accent1" w:themeShade="80"/>
                <w:sz w:val="24"/>
                <w:szCs w:val="24"/>
                <w:lang w:val="en-US"/>
              </w:rPr>
              <w:t>NUTS</w:t>
            </w:r>
            <w:r w:rsidRPr="0018229B">
              <w:rPr>
                <w:rFonts w:ascii="Cambria" w:hAnsi="Cambria"/>
                <w:color w:val="244061" w:themeColor="accent1" w:themeShade="80"/>
                <w:sz w:val="24"/>
                <w:szCs w:val="24"/>
              </w:rPr>
              <w:t xml:space="preserve">3 </w:t>
            </w:r>
            <w:r>
              <w:rPr>
                <w:rFonts w:ascii="Cambria" w:hAnsi="Cambria"/>
                <w:color w:val="244061" w:themeColor="accent1" w:themeShade="80"/>
                <w:sz w:val="24"/>
                <w:szCs w:val="24"/>
              </w:rPr>
              <w:t>ή τμήματα αυτών που έχουν χερσαία σύνορα με χώρα εκτός του ΕΟΧ ή της ΕΖΕΣ</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2020" w:type="dxa"/>
            <w:gridSpan w:val="2"/>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Στερεά Ελλάδα</w:t>
            </w:r>
          </w:p>
        </w:tc>
        <w:tc>
          <w:tcPr>
            <w:tcW w:w="177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Ευρυτανία</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2020" w:type="dxa"/>
            <w:gridSpan w:val="2"/>
            <w:vMerge w:val="restart"/>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77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Καστοριά</w:t>
            </w:r>
          </w:p>
        </w:tc>
        <w:tc>
          <w:tcPr>
            <w:tcW w:w="198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34310F">
        <w:tc>
          <w:tcPr>
            <w:tcW w:w="2020" w:type="dxa"/>
            <w:gridSpan w:val="2"/>
            <w:vMerge/>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p>
        </w:tc>
        <w:tc>
          <w:tcPr>
            <w:tcW w:w="1774" w:type="dxa"/>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Φλώρινα</w:t>
            </w:r>
          </w:p>
        </w:tc>
        <w:tc>
          <w:tcPr>
            <w:tcW w:w="1984" w:type="dxa"/>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34310F">
        <w:tc>
          <w:tcPr>
            <w:tcW w:w="7905" w:type="dxa"/>
            <w:gridSpan w:val="5"/>
            <w:shd w:val="clear" w:color="auto" w:fill="D9D9D9" w:themeFill="background1" w:themeFillShade="D9"/>
            <w:vAlign w:val="center"/>
          </w:tcPr>
          <w:p w:rsidR="0018229B" w:rsidRPr="00D034CC" w:rsidRDefault="0034310F"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Πρώην περιοχές «α»</w:t>
            </w:r>
            <w:r w:rsidR="00D034CC" w:rsidRPr="00D034CC">
              <w:rPr>
                <w:rFonts w:ascii="Cambria" w:hAnsi="Cambria"/>
                <w:color w:val="244061" w:themeColor="accent1" w:themeShade="80"/>
                <w:sz w:val="24"/>
                <w:szCs w:val="24"/>
              </w:rPr>
              <w:t xml:space="preserve"> </w:t>
            </w:r>
            <w:r w:rsidR="00D034CC">
              <w:rPr>
                <w:rFonts w:ascii="Cambria" w:hAnsi="Cambria"/>
                <w:color w:val="244061" w:themeColor="accent1" w:themeShade="80"/>
                <w:sz w:val="24"/>
                <w:szCs w:val="24"/>
              </w:rPr>
              <w:t>(περίοδος έως 31/12/2017)</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2020" w:type="dxa"/>
            <w:gridSpan w:val="2"/>
            <w:vMerge w:val="restart"/>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77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Γρεβενά </w:t>
            </w:r>
          </w:p>
        </w:tc>
        <w:tc>
          <w:tcPr>
            <w:tcW w:w="1984" w:type="dxa"/>
            <w:vAlign w:val="center"/>
          </w:tcPr>
          <w:p w:rsidR="0018229B" w:rsidRPr="00A3196D" w:rsidRDefault="0034310F" w:rsidP="00BE1D4A">
            <w:pPr>
              <w:spacing w:after="120"/>
              <w:jc w:val="center"/>
              <w:rPr>
                <w:rFonts w:ascii="Cambria" w:hAnsi="Cambria"/>
                <w:color w:val="244061" w:themeColor="accent1" w:themeShade="80"/>
                <w:sz w:val="24"/>
                <w:szCs w:val="24"/>
                <w:lang w:val="en-US"/>
              </w:rPr>
            </w:pPr>
            <w:r>
              <w:rPr>
                <w:rFonts w:ascii="Cambria" w:hAnsi="Cambria"/>
                <w:color w:val="244061" w:themeColor="accent1" w:themeShade="80"/>
                <w:sz w:val="24"/>
                <w:szCs w:val="24"/>
              </w:rPr>
              <w:t>25%</w:t>
            </w:r>
            <w:r w:rsidR="00D034CC">
              <w:rPr>
                <w:rFonts w:ascii="Cambria" w:hAnsi="Cambria"/>
                <w:color w:val="244061" w:themeColor="accent1" w:themeShade="80"/>
                <w:sz w:val="24"/>
                <w:szCs w:val="24"/>
              </w:rPr>
              <w:t xml:space="preserve"> </w:t>
            </w:r>
          </w:p>
        </w:tc>
        <w:tc>
          <w:tcPr>
            <w:tcW w:w="2127" w:type="dxa"/>
            <w:vAlign w:val="center"/>
          </w:tcPr>
          <w:p w:rsidR="0018229B" w:rsidRPr="00A3196D" w:rsidRDefault="00A3196D" w:rsidP="00BE1D4A">
            <w:pPr>
              <w:spacing w:after="120"/>
              <w:jc w:val="center"/>
              <w:rPr>
                <w:rFonts w:ascii="Cambria" w:hAnsi="Cambria"/>
                <w:color w:val="244061" w:themeColor="accent1" w:themeShade="80"/>
                <w:sz w:val="24"/>
                <w:szCs w:val="24"/>
                <w:lang w:val="en-US"/>
              </w:rPr>
            </w:pPr>
            <w:r>
              <w:rPr>
                <w:rFonts w:ascii="Cambria" w:hAnsi="Cambria"/>
                <w:color w:val="244061" w:themeColor="accent1" w:themeShade="80"/>
                <w:sz w:val="24"/>
                <w:szCs w:val="24"/>
                <w:lang w:val="en-US"/>
              </w:rPr>
              <w:t>35%</w:t>
            </w:r>
            <w:r w:rsidR="00D034CC">
              <w:rPr>
                <w:rFonts w:ascii="Cambria" w:hAnsi="Cambria"/>
                <w:color w:val="244061" w:themeColor="accent1" w:themeShade="80"/>
                <w:sz w:val="24"/>
                <w:szCs w:val="24"/>
              </w:rPr>
              <w:t xml:space="preserve"> </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1C7E71">
        <w:tc>
          <w:tcPr>
            <w:tcW w:w="2020" w:type="dxa"/>
            <w:gridSpan w:val="2"/>
            <w:vMerge/>
            <w:vAlign w:val="center"/>
          </w:tcPr>
          <w:p w:rsidR="0018229B" w:rsidRDefault="0018229B" w:rsidP="00BE1D4A">
            <w:pPr>
              <w:spacing w:after="120"/>
              <w:jc w:val="center"/>
              <w:rPr>
                <w:rFonts w:ascii="Cambria" w:hAnsi="Cambria"/>
                <w:color w:val="244061" w:themeColor="accent1" w:themeShade="80"/>
                <w:sz w:val="24"/>
                <w:szCs w:val="24"/>
              </w:rPr>
            </w:pPr>
          </w:p>
        </w:tc>
        <w:tc>
          <w:tcPr>
            <w:tcW w:w="1774" w:type="dxa"/>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Κοζάνη</w:t>
            </w:r>
          </w:p>
        </w:tc>
        <w:tc>
          <w:tcPr>
            <w:tcW w:w="1984" w:type="dxa"/>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r w:rsidR="00D034CC">
              <w:rPr>
                <w:rFonts w:ascii="Cambria" w:hAnsi="Cambria"/>
                <w:color w:val="244061" w:themeColor="accent1" w:themeShade="80"/>
                <w:sz w:val="24"/>
                <w:szCs w:val="24"/>
              </w:rPr>
              <w:t xml:space="preserve"> </w:t>
            </w:r>
          </w:p>
        </w:tc>
        <w:tc>
          <w:tcPr>
            <w:tcW w:w="2127" w:type="dxa"/>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sidR="00D034CC">
              <w:rPr>
                <w:rFonts w:ascii="Cambria" w:hAnsi="Cambria"/>
                <w:color w:val="244061" w:themeColor="accent1" w:themeShade="80"/>
                <w:sz w:val="24"/>
                <w:szCs w:val="24"/>
              </w:rPr>
              <w:t xml:space="preserve"> </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89178B">
        <w:tc>
          <w:tcPr>
            <w:tcW w:w="3794" w:type="dxa"/>
            <w:gridSpan w:val="3"/>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lastRenderedPageBreak/>
              <w:t>Ιόνια Νησιά</w:t>
            </w:r>
          </w:p>
        </w:tc>
        <w:tc>
          <w:tcPr>
            <w:tcW w:w="1984" w:type="dxa"/>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r w:rsidR="00D034CC">
              <w:rPr>
                <w:rFonts w:ascii="Cambria" w:hAnsi="Cambria"/>
                <w:color w:val="244061" w:themeColor="accent1" w:themeShade="80"/>
                <w:sz w:val="24"/>
                <w:szCs w:val="24"/>
              </w:rPr>
              <w:t xml:space="preserve"> </w:t>
            </w:r>
          </w:p>
        </w:tc>
        <w:tc>
          <w:tcPr>
            <w:tcW w:w="2127" w:type="dxa"/>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sidR="00D034CC">
              <w:rPr>
                <w:rFonts w:ascii="Cambria" w:hAnsi="Cambria"/>
                <w:color w:val="244061" w:themeColor="accent1" w:themeShade="80"/>
                <w:sz w:val="24"/>
                <w:szCs w:val="24"/>
              </w:rPr>
              <w:t xml:space="preserve"> </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18229B" w:rsidTr="00D034CC">
        <w:tc>
          <w:tcPr>
            <w:tcW w:w="3794" w:type="dxa"/>
            <w:gridSpan w:val="3"/>
            <w:tcBorders>
              <w:bottom w:val="single" w:sz="4" w:space="0" w:color="auto"/>
            </w:tcBorders>
            <w:vAlign w:val="center"/>
          </w:tcPr>
          <w:p w:rsidR="0018229B" w:rsidRDefault="0018229B"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Κρήτη</w:t>
            </w:r>
          </w:p>
        </w:tc>
        <w:tc>
          <w:tcPr>
            <w:tcW w:w="1984" w:type="dxa"/>
            <w:tcBorders>
              <w:bottom w:val="single" w:sz="4" w:space="0" w:color="auto"/>
            </w:tcBorders>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r w:rsidR="00D034CC">
              <w:rPr>
                <w:rFonts w:ascii="Cambria" w:hAnsi="Cambria"/>
                <w:color w:val="244061" w:themeColor="accent1" w:themeShade="80"/>
                <w:sz w:val="24"/>
                <w:szCs w:val="24"/>
              </w:rPr>
              <w:t xml:space="preserve"> </w:t>
            </w:r>
          </w:p>
        </w:tc>
        <w:tc>
          <w:tcPr>
            <w:tcW w:w="2127" w:type="dxa"/>
            <w:tcBorders>
              <w:bottom w:val="single" w:sz="4" w:space="0" w:color="auto"/>
            </w:tcBorders>
            <w:vAlign w:val="center"/>
          </w:tcPr>
          <w:p w:rsidR="0018229B" w:rsidRDefault="00A3196D"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sidR="00D034CC">
              <w:rPr>
                <w:rFonts w:ascii="Cambria" w:hAnsi="Cambria"/>
                <w:color w:val="244061" w:themeColor="accent1" w:themeShade="80"/>
                <w:sz w:val="24"/>
                <w:szCs w:val="24"/>
              </w:rPr>
              <w:t xml:space="preserve"> </w:t>
            </w:r>
          </w:p>
        </w:tc>
        <w:tc>
          <w:tcPr>
            <w:tcW w:w="2057" w:type="dxa"/>
            <w:vMerge/>
            <w:vAlign w:val="center"/>
          </w:tcPr>
          <w:p w:rsidR="0018229B" w:rsidRDefault="0018229B" w:rsidP="00BE1D4A">
            <w:pPr>
              <w:spacing w:after="120"/>
              <w:jc w:val="center"/>
              <w:rPr>
                <w:rFonts w:ascii="Cambria" w:hAnsi="Cambria"/>
                <w:color w:val="244061" w:themeColor="accent1" w:themeShade="80"/>
                <w:sz w:val="24"/>
                <w:szCs w:val="24"/>
              </w:rPr>
            </w:pPr>
          </w:p>
        </w:tc>
      </w:tr>
      <w:tr w:rsidR="00D034CC" w:rsidTr="00D034CC">
        <w:tc>
          <w:tcPr>
            <w:tcW w:w="7905" w:type="dxa"/>
            <w:gridSpan w:val="5"/>
            <w:tcBorders>
              <w:bottom w:val="single" w:sz="4" w:space="0" w:color="auto"/>
            </w:tcBorders>
            <w:shd w:val="clear" w:color="auto" w:fill="D9D9D9" w:themeFill="background1" w:themeFillShade="D9"/>
            <w:vAlign w:val="center"/>
          </w:tcPr>
          <w:p w:rsidR="00D034CC" w:rsidRP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Πρώην περιοχές «α»</w:t>
            </w:r>
            <w:r w:rsidRPr="00D034CC">
              <w:rPr>
                <w:rFonts w:ascii="Cambria" w:hAnsi="Cambria"/>
                <w:color w:val="244061" w:themeColor="accent1" w:themeShade="80"/>
                <w:sz w:val="24"/>
                <w:szCs w:val="24"/>
              </w:rPr>
              <w:t xml:space="preserve"> </w:t>
            </w:r>
            <w:r>
              <w:rPr>
                <w:rFonts w:ascii="Cambria" w:hAnsi="Cambria"/>
                <w:color w:val="244061" w:themeColor="accent1" w:themeShade="80"/>
                <w:sz w:val="24"/>
                <w:szCs w:val="24"/>
              </w:rPr>
              <w:t>(περίοδος από 1/1/2018 έως και 31/12/2020)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89178B">
        <w:tc>
          <w:tcPr>
            <w:tcW w:w="1897" w:type="dxa"/>
            <w:vMerge w:val="restart"/>
            <w:vAlign w:val="center"/>
          </w:tcPr>
          <w:p w:rsidR="00D034CC" w:rsidRPr="00D034CC" w:rsidRDefault="00D034CC" w:rsidP="00BE1D4A">
            <w:pPr>
              <w:spacing w:after="120"/>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897" w:type="dxa"/>
            <w:gridSpan w:val="2"/>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Γρεβενά </w:t>
            </w:r>
          </w:p>
        </w:tc>
        <w:tc>
          <w:tcPr>
            <w:tcW w:w="1984" w:type="dxa"/>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D034CC" w:rsidRP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89178B">
        <w:tc>
          <w:tcPr>
            <w:tcW w:w="1897" w:type="dxa"/>
            <w:vMerge/>
            <w:tcBorders>
              <w:bottom w:val="single" w:sz="4" w:space="0" w:color="auto"/>
            </w:tcBorders>
            <w:vAlign w:val="center"/>
          </w:tcPr>
          <w:p w:rsidR="00D034CC" w:rsidRPr="00D034CC" w:rsidRDefault="00D034CC" w:rsidP="00BE1D4A">
            <w:pPr>
              <w:spacing w:after="120"/>
              <w:rPr>
                <w:rFonts w:ascii="Cambria" w:hAnsi="Cambria"/>
                <w:color w:val="244061" w:themeColor="accent1" w:themeShade="80"/>
                <w:sz w:val="24"/>
                <w:szCs w:val="24"/>
              </w:rPr>
            </w:pPr>
          </w:p>
        </w:tc>
        <w:tc>
          <w:tcPr>
            <w:tcW w:w="1897" w:type="dxa"/>
            <w:gridSpan w:val="2"/>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Κοζάνη</w:t>
            </w:r>
          </w:p>
        </w:tc>
        <w:tc>
          <w:tcPr>
            <w:tcW w:w="1984" w:type="dxa"/>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D034CC" w:rsidRP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534276">
        <w:tc>
          <w:tcPr>
            <w:tcW w:w="3794" w:type="dxa"/>
            <w:gridSpan w:val="3"/>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Ιόνια Νησιά</w:t>
            </w:r>
          </w:p>
        </w:tc>
        <w:tc>
          <w:tcPr>
            <w:tcW w:w="1984" w:type="dxa"/>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D034CC" w:rsidRP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534276">
        <w:tc>
          <w:tcPr>
            <w:tcW w:w="3794" w:type="dxa"/>
            <w:gridSpan w:val="3"/>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Κρήτη</w:t>
            </w:r>
          </w:p>
        </w:tc>
        <w:tc>
          <w:tcPr>
            <w:tcW w:w="1984" w:type="dxa"/>
            <w:tcBorders>
              <w:bottom w:val="single" w:sz="4" w:space="0" w:color="auto"/>
            </w:tcBorders>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D034CC" w:rsidRP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534276">
        <w:tc>
          <w:tcPr>
            <w:tcW w:w="7905" w:type="dxa"/>
            <w:gridSpan w:val="5"/>
            <w:shd w:val="clear" w:color="auto" w:fill="D9D9D9" w:themeFill="background1" w:themeFillShade="D9"/>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Μη προκαθορισμένες περιοχές «γ»</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3794" w:type="dxa"/>
            <w:gridSpan w:val="3"/>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Αττική</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2020" w:type="dxa"/>
            <w:gridSpan w:val="2"/>
            <w:vMerge w:val="restart"/>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Στερεά Ελλάδα</w:t>
            </w:r>
          </w:p>
        </w:tc>
        <w:tc>
          <w:tcPr>
            <w:tcW w:w="177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Βοιωτία</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2020" w:type="dxa"/>
            <w:gridSpan w:val="2"/>
            <w:vMerge/>
            <w:vAlign w:val="center"/>
          </w:tcPr>
          <w:p w:rsidR="00D034CC" w:rsidRDefault="00D034CC" w:rsidP="00BE1D4A">
            <w:pPr>
              <w:spacing w:after="120"/>
              <w:jc w:val="center"/>
              <w:rPr>
                <w:rFonts w:ascii="Cambria" w:hAnsi="Cambria"/>
                <w:color w:val="244061" w:themeColor="accent1" w:themeShade="80"/>
                <w:sz w:val="24"/>
                <w:szCs w:val="24"/>
              </w:rPr>
            </w:pPr>
          </w:p>
        </w:tc>
        <w:tc>
          <w:tcPr>
            <w:tcW w:w="177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Φθιώτιδα</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2020" w:type="dxa"/>
            <w:gridSpan w:val="2"/>
            <w:vMerge/>
            <w:vAlign w:val="center"/>
          </w:tcPr>
          <w:p w:rsidR="00D034CC" w:rsidRDefault="00D034CC" w:rsidP="00BE1D4A">
            <w:pPr>
              <w:spacing w:after="120"/>
              <w:jc w:val="center"/>
              <w:rPr>
                <w:rFonts w:ascii="Cambria" w:hAnsi="Cambria"/>
                <w:color w:val="244061" w:themeColor="accent1" w:themeShade="80"/>
                <w:sz w:val="24"/>
                <w:szCs w:val="24"/>
              </w:rPr>
            </w:pPr>
          </w:p>
        </w:tc>
        <w:tc>
          <w:tcPr>
            <w:tcW w:w="177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Εύβοια</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2020" w:type="dxa"/>
            <w:gridSpan w:val="2"/>
            <w:vMerge/>
            <w:vAlign w:val="center"/>
          </w:tcPr>
          <w:p w:rsidR="00D034CC" w:rsidRDefault="00D034CC" w:rsidP="00BE1D4A">
            <w:pPr>
              <w:spacing w:after="120"/>
              <w:jc w:val="center"/>
              <w:rPr>
                <w:rFonts w:ascii="Cambria" w:hAnsi="Cambria"/>
                <w:color w:val="244061" w:themeColor="accent1" w:themeShade="80"/>
                <w:sz w:val="24"/>
                <w:szCs w:val="24"/>
              </w:rPr>
            </w:pPr>
          </w:p>
        </w:tc>
        <w:tc>
          <w:tcPr>
            <w:tcW w:w="177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Φωκίδα</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r w:rsidR="00D034CC" w:rsidTr="001C7E71">
        <w:tc>
          <w:tcPr>
            <w:tcW w:w="3794" w:type="dxa"/>
            <w:gridSpan w:val="3"/>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Νότιο Αιγαίο</w:t>
            </w:r>
          </w:p>
        </w:tc>
        <w:tc>
          <w:tcPr>
            <w:tcW w:w="1984"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D034CC" w:rsidRDefault="00D034CC" w:rsidP="00BE1D4A">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D034CC" w:rsidRDefault="00D034CC" w:rsidP="00BE1D4A">
            <w:pPr>
              <w:spacing w:after="120"/>
              <w:jc w:val="center"/>
              <w:rPr>
                <w:rFonts w:ascii="Cambria" w:hAnsi="Cambria"/>
                <w:color w:val="244061" w:themeColor="accent1" w:themeShade="80"/>
                <w:sz w:val="24"/>
                <w:szCs w:val="24"/>
              </w:rPr>
            </w:pPr>
          </w:p>
        </w:tc>
      </w:tr>
    </w:tbl>
    <w:p w:rsidR="0035040E" w:rsidRDefault="0035040E" w:rsidP="00BE1D4A">
      <w:pPr>
        <w:spacing w:after="120" w:line="240" w:lineRule="auto"/>
        <w:rPr>
          <w:rFonts w:ascii="Cambria" w:hAnsi="Cambria"/>
          <w:color w:val="244061" w:themeColor="accent1" w:themeShade="80"/>
          <w:sz w:val="24"/>
          <w:szCs w:val="24"/>
        </w:rPr>
      </w:pPr>
    </w:p>
    <w:p w:rsidR="00C70642" w:rsidRPr="00DC1F41" w:rsidRDefault="00C70642" w:rsidP="00BE1D4A">
      <w:pPr>
        <w:pStyle w:val="2"/>
        <w:spacing w:before="0" w:after="120" w:line="240" w:lineRule="auto"/>
        <w:jc w:val="both"/>
      </w:pPr>
      <w:bookmarkStart w:id="16" w:name="_Toc450909676"/>
      <w:r w:rsidRPr="00DC1F41">
        <w:t>19.2.3: ΥΠΟΔΟΜΕΣ ΠΟΥ ΣΧΕΤΙΖΟΝΤΑΙ ΜΕ ΤΗΝ ΑΝΑΠΤΥΞΗ, ΤΟΝ ΕΚΣΥΓΧΡΟΝΙΣΜΟ Η ΤΗΝ ΠΡΟΣΑΡΜΟΓΗ ΤΗΣ ΓΕΩΡΓΙΑΣ</w:t>
      </w:r>
      <w:bookmarkEnd w:id="16"/>
    </w:p>
    <w:p w:rsidR="00C70642" w:rsidRPr="00DC1F41" w:rsidRDefault="00C70642" w:rsidP="00BE1D4A">
      <w:pPr>
        <w:spacing w:after="120" w:line="240" w:lineRule="auto"/>
        <w:rPr>
          <w:rFonts w:ascii="Cambria" w:hAnsi="Cambria"/>
          <w:color w:val="244061" w:themeColor="accent1" w:themeShade="80"/>
          <w:sz w:val="24"/>
          <w:szCs w:val="24"/>
        </w:rPr>
      </w:pPr>
      <w:r w:rsidRPr="00DC1F41">
        <w:rPr>
          <w:rFonts w:ascii="Cambria" w:hAnsi="Cambria"/>
          <w:color w:val="244061" w:themeColor="accent1" w:themeShade="80"/>
          <w:sz w:val="24"/>
          <w:szCs w:val="24"/>
        </w:rPr>
        <w:t>Νομική βάση: Άρθρο 17§1γ καν. (ΕΕ) 1305/2013</w:t>
      </w:r>
    </w:p>
    <w:p w:rsidR="00C70642" w:rsidRPr="00DC1F41" w:rsidRDefault="00C70642" w:rsidP="00BE1D4A">
      <w:pPr>
        <w:spacing w:after="120" w:line="240" w:lineRule="auto"/>
        <w:rPr>
          <w:rFonts w:ascii="Cambria" w:hAnsi="Cambria"/>
          <w:b/>
          <w:color w:val="244061" w:themeColor="accent1" w:themeShade="80"/>
          <w:sz w:val="24"/>
          <w:szCs w:val="24"/>
        </w:rPr>
      </w:pPr>
      <w:r w:rsidRPr="00DC1F41">
        <w:rPr>
          <w:rFonts w:ascii="Cambria" w:hAnsi="Cambria"/>
          <w:b/>
          <w:color w:val="244061" w:themeColor="accent1" w:themeShade="80"/>
          <w:sz w:val="24"/>
          <w:szCs w:val="24"/>
        </w:rPr>
        <w:t>19.2.3.1: Βελτίωση πρόσβασης σε γεωργική γη και κτηνοτροφικές εκμεταλλεύσεις</w:t>
      </w:r>
    </w:p>
    <w:p w:rsidR="00C70642" w:rsidRPr="00DC1F41" w:rsidRDefault="00C70642" w:rsidP="00BE1D4A">
      <w:pPr>
        <w:spacing w:after="120" w:line="240" w:lineRule="auto"/>
        <w:jc w:val="both"/>
        <w:rPr>
          <w:rFonts w:ascii="Cambria" w:hAnsi="Cambria"/>
          <w:color w:val="244061" w:themeColor="accent1" w:themeShade="80"/>
          <w:sz w:val="24"/>
          <w:szCs w:val="24"/>
        </w:rPr>
      </w:pPr>
      <w:r w:rsidRPr="00DC1F41">
        <w:rPr>
          <w:rFonts w:ascii="Cambria" w:hAnsi="Cambria"/>
          <w:color w:val="244061" w:themeColor="accent1" w:themeShade="80"/>
          <w:sz w:val="24"/>
          <w:szCs w:val="24"/>
        </w:rPr>
        <w:t>Η παρεχόμενη στήριξη δεν ακολουθεί τους κανόνες περί κρατικών ενισχύσεων και απαλλάσσεται από την υποχρέωση  κοινοποίησης</w:t>
      </w:r>
      <w:r w:rsidR="00D404B7" w:rsidRPr="00DC1F41">
        <w:rPr>
          <w:rFonts w:ascii="Cambria" w:hAnsi="Cambria"/>
          <w:color w:val="244061" w:themeColor="accent1" w:themeShade="80"/>
          <w:sz w:val="24"/>
          <w:szCs w:val="24"/>
        </w:rPr>
        <w:t>, δ</w:t>
      </w:r>
      <w:r w:rsidRPr="00DC1F41">
        <w:rPr>
          <w:rFonts w:ascii="Cambria" w:hAnsi="Cambria"/>
          <w:color w:val="244061" w:themeColor="accent1" w:themeShade="80"/>
          <w:sz w:val="24"/>
          <w:szCs w:val="24"/>
        </w:rPr>
        <w:t>εδομένου ότι αφορά σε στήριξη</w:t>
      </w:r>
      <w:r w:rsidR="00D404B7" w:rsidRPr="00DC1F41">
        <w:rPr>
          <w:rFonts w:ascii="Cambria" w:hAnsi="Cambria"/>
          <w:color w:val="244061" w:themeColor="accent1" w:themeShade="80"/>
          <w:sz w:val="24"/>
          <w:szCs w:val="24"/>
        </w:rPr>
        <w:t xml:space="preserve"> υποδομών που δεν προορίζονται να αποτελέσουν αντικείμενο εμπορικής εκμετάλλευσης</w:t>
      </w:r>
      <w:r w:rsidR="00B27ACA">
        <w:rPr>
          <w:rFonts w:ascii="Cambria" w:hAnsi="Cambria"/>
          <w:color w:val="244061" w:themeColor="accent1" w:themeShade="80"/>
          <w:sz w:val="24"/>
          <w:szCs w:val="24"/>
        </w:rPr>
        <w:t>,</w:t>
      </w:r>
      <w:r w:rsidR="00D404B7" w:rsidRPr="00DC1F41">
        <w:rPr>
          <w:rFonts w:ascii="Cambria" w:hAnsi="Cambria"/>
          <w:color w:val="244061" w:themeColor="accent1" w:themeShade="80"/>
          <w:sz w:val="24"/>
          <w:szCs w:val="24"/>
        </w:rPr>
        <w:t xml:space="preserve"> με </w:t>
      </w:r>
      <w:r w:rsidRPr="00DC1F41">
        <w:rPr>
          <w:rFonts w:ascii="Cambria" w:hAnsi="Cambria"/>
          <w:color w:val="244061" w:themeColor="accent1" w:themeShade="80"/>
          <w:sz w:val="24"/>
          <w:szCs w:val="24"/>
        </w:rPr>
        <w:t xml:space="preserve">ποσοστό ενίσχυσης </w:t>
      </w:r>
      <w:r w:rsidR="00D404B7" w:rsidRPr="00DC1F41">
        <w:rPr>
          <w:rFonts w:ascii="Cambria" w:hAnsi="Cambria"/>
          <w:color w:val="244061" w:themeColor="accent1" w:themeShade="80"/>
          <w:sz w:val="24"/>
          <w:szCs w:val="24"/>
        </w:rPr>
        <w:t xml:space="preserve">το οποίο </w:t>
      </w:r>
      <w:r w:rsidRPr="00DC1F41">
        <w:rPr>
          <w:rFonts w:ascii="Cambria" w:hAnsi="Cambria"/>
          <w:color w:val="244061" w:themeColor="accent1" w:themeShade="80"/>
          <w:sz w:val="24"/>
          <w:szCs w:val="24"/>
        </w:rPr>
        <w:t>ανέρχεται έως το 100% των επιλέξιμων δαπανών.</w:t>
      </w:r>
      <w:r w:rsidR="00D404B7" w:rsidRPr="00DC1F41">
        <w:rPr>
          <w:rFonts w:ascii="Cambria" w:hAnsi="Cambria"/>
          <w:color w:val="244061" w:themeColor="accent1" w:themeShade="80"/>
          <w:sz w:val="24"/>
          <w:szCs w:val="24"/>
        </w:rPr>
        <w:t xml:space="preserve"> </w:t>
      </w:r>
    </w:p>
    <w:p w:rsidR="00C70642" w:rsidRDefault="00C70642" w:rsidP="00BE1D4A">
      <w:pPr>
        <w:pStyle w:val="2"/>
        <w:spacing w:before="0" w:after="120" w:line="240" w:lineRule="auto"/>
        <w:jc w:val="both"/>
      </w:pPr>
      <w:bookmarkStart w:id="17" w:name="_Toc450909677"/>
      <w:r w:rsidRPr="00C70642">
        <w:t>19.2.</w:t>
      </w:r>
      <w:r w:rsidR="00DC1F41" w:rsidRPr="00B5360B">
        <w:t>4</w:t>
      </w:r>
      <w:r w:rsidRPr="00C70642">
        <w:t>: ΑΝΑΠΤΥΞΗ ΕΠΙΧΕΙΡΗΣΕΩΝ ΣΤΙΣ ΑΓΡΟΤΙΚΕΣ ΠΕΡΙΟΧΕΣ</w:t>
      </w:r>
      <w:bookmarkEnd w:id="17"/>
    </w:p>
    <w:p w:rsidR="00A84125" w:rsidRDefault="00A84125" w:rsidP="00BE1D4A">
      <w:pPr>
        <w:spacing w:after="120" w:line="240" w:lineRule="auto"/>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19§1β καν. (ΕΕ) 1305/2013</w:t>
      </w:r>
    </w:p>
    <w:p w:rsidR="00C70642" w:rsidRPr="007911DB" w:rsidRDefault="00A84125" w:rsidP="00BE1D4A">
      <w:pPr>
        <w:pStyle w:val="3"/>
        <w:spacing w:before="0" w:after="120" w:line="240" w:lineRule="auto"/>
        <w:jc w:val="both"/>
        <w:rPr>
          <w:color w:val="244061" w:themeColor="accent1" w:themeShade="80"/>
          <w:sz w:val="24"/>
          <w:szCs w:val="24"/>
        </w:rPr>
      </w:pPr>
      <w:bookmarkStart w:id="18" w:name="_Toc450909678"/>
      <w:r w:rsidRPr="007911DB">
        <w:rPr>
          <w:color w:val="244061" w:themeColor="accent1" w:themeShade="80"/>
          <w:sz w:val="24"/>
          <w:szCs w:val="24"/>
        </w:rPr>
        <w:t>19.2.</w:t>
      </w:r>
      <w:r w:rsidR="00DC1F41" w:rsidRPr="00DC1F41">
        <w:rPr>
          <w:color w:val="244061" w:themeColor="accent1" w:themeShade="80"/>
          <w:sz w:val="24"/>
          <w:szCs w:val="24"/>
        </w:rPr>
        <w:t>4</w:t>
      </w:r>
      <w:r w:rsidRPr="007911DB">
        <w:rPr>
          <w:color w:val="244061" w:themeColor="accent1" w:themeShade="80"/>
          <w:sz w:val="24"/>
          <w:szCs w:val="24"/>
        </w:rPr>
        <w:t>.1: Επενδύσεις για την ίδρυση/ δημιουργία μη γεωργικών δραστηριοτήτων</w:t>
      </w:r>
      <w:bookmarkEnd w:id="18"/>
      <w:r w:rsidRPr="007911DB">
        <w:rPr>
          <w:color w:val="244061" w:themeColor="accent1" w:themeShade="80"/>
          <w:sz w:val="24"/>
          <w:szCs w:val="24"/>
        </w:rPr>
        <w:t xml:space="preserve"> </w:t>
      </w:r>
    </w:p>
    <w:p w:rsidR="0089178B" w:rsidRPr="00144B9A" w:rsidRDefault="006A0BE7" w:rsidP="00BE1D4A">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 του άρθρου 22 καν. (ΕΕ) 651/2014, με ανώτατο ποσοστό ενίσχυσης 60% των επιλέξιμων δαπανών</w:t>
      </w:r>
      <w:r w:rsidR="00144B9A">
        <w:rPr>
          <w:rFonts w:ascii="Cambria" w:hAnsi="Cambria"/>
          <w:color w:val="244061" w:themeColor="accent1" w:themeShade="80"/>
          <w:sz w:val="24"/>
          <w:szCs w:val="24"/>
        </w:rPr>
        <w:t xml:space="preserve"> και αφορά σε μ</w:t>
      </w:r>
      <w:r w:rsidR="0089178B" w:rsidRPr="00144B9A">
        <w:rPr>
          <w:rFonts w:ascii="Cambria" w:hAnsi="Cambria"/>
          <w:color w:val="244061" w:themeColor="accent1" w:themeShade="80"/>
          <w:sz w:val="24"/>
          <w:szCs w:val="24"/>
        </w:rPr>
        <w:t>η εισηγμένες ΜΜΕ</w:t>
      </w:r>
      <w:r w:rsidR="003B0771">
        <w:rPr>
          <w:rFonts w:ascii="Cambria" w:hAnsi="Cambria"/>
          <w:color w:val="244061" w:themeColor="accent1" w:themeShade="80"/>
          <w:sz w:val="24"/>
          <w:szCs w:val="24"/>
        </w:rPr>
        <w:t>,</w:t>
      </w:r>
      <w:r w:rsidR="0089178B" w:rsidRPr="00144B9A">
        <w:rPr>
          <w:rFonts w:ascii="Cambria" w:hAnsi="Cambria"/>
          <w:color w:val="244061" w:themeColor="accent1" w:themeShade="80"/>
          <w:sz w:val="24"/>
          <w:szCs w:val="24"/>
        </w:rPr>
        <w:t xml:space="preserve"> που λειτουργούν έως 5 έτη χωρίς διανομή κερδών</w:t>
      </w:r>
      <w:r w:rsidR="00AC55AD">
        <w:rPr>
          <w:rFonts w:ascii="Cambria" w:hAnsi="Cambria"/>
          <w:color w:val="244061" w:themeColor="accent1" w:themeShade="80"/>
          <w:sz w:val="24"/>
          <w:szCs w:val="24"/>
        </w:rPr>
        <w:t>.</w:t>
      </w:r>
      <w:r w:rsidR="0089178B" w:rsidRPr="00144B9A">
        <w:rPr>
          <w:rFonts w:ascii="Cambria" w:hAnsi="Cambria"/>
          <w:color w:val="244061" w:themeColor="accent1" w:themeShade="80"/>
          <w:sz w:val="24"/>
          <w:szCs w:val="24"/>
        </w:rPr>
        <w:t xml:space="preserve"> </w:t>
      </w:r>
    </w:p>
    <w:p w:rsidR="00A84125" w:rsidRPr="007911DB" w:rsidRDefault="00A84125" w:rsidP="00BE1D4A">
      <w:pPr>
        <w:pStyle w:val="3"/>
        <w:spacing w:before="0" w:after="120" w:line="240" w:lineRule="auto"/>
        <w:jc w:val="both"/>
        <w:rPr>
          <w:color w:val="244061" w:themeColor="accent1" w:themeShade="80"/>
          <w:sz w:val="24"/>
          <w:szCs w:val="24"/>
        </w:rPr>
      </w:pPr>
      <w:bookmarkStart w:id="19" w:name="_Toc450909679"/>
      <w:r w:rsidRPr="007911DB">
        <w:rPr>
          <w:color w:val="244061" w:themeColor="accent1" w:themeShade="80"/>
          <w:sz w:val="24"/>
          <w:szCs w:val="24"/>
        </w:rPr>
        <w:t>19.2.</w:t>
      </w:r>
      <w:r w:rsidR="00DC1F41" w:rsidRPr="00DC1F41">
        <w:rPr>
          <w:color w:val="244061" w:themeColor="accent1" w:themeShade="80"/>
          <w:sz w:val="24"/>
          <w:szCs w:val="24"/>
        </w:rPr>
        <w:t>4</w:t>
      </w:r>
      <w:r w:rsidRPr="007911DB">
        <w:rPr>
          <w:color w:val="244061" w:themeColor="accent1" w:themeShade="80"/>
          <w:sz w:val="24"/>
          <w:szCs w:val="24"/>
        </w:rPr>
        <w:t>.2: Επενδύσεις για την ανάπτυξη/εκσυγχρονισμό μη γεωργικών δραστηριοτήτων</w:t>
      </w:r>
      <w:bookmarkEnd w:id="19"/>
    </w:p>
    <w:p w:rsidR="006A0BE7" w:rsidRDefault="006A0BE7" w:rsidP="00BE1D4A">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w:t>
      </w:r>
      <w:r>
        <w:rPr>
          <w:rFonts w:ascii="Cambria" w:hAnsi="Cambria"/>
          <w:color w:val="244061" w:themeColor="accent1" w:themeShade="80"/>
          <w:sz w:val="24"/>
          <w:szCs w:val="24"/>
        </w:rPr>
        <w:t xml:space="preserve"> του </w:t>
      </w:r>
      <w:r w:rsidR="00B81143">
        <w:rPr>
          <w:rFonts w:ascii="Cambria" w:hAnsi="Cambria"/>
          <w:color w:val="244061" w:themeColor="accent1" w:themeShade="80"/>
          <w:sz w:val="24"/>
          <w:szCs w:val="24"/>
        </w:rPr>
        <w:t>κανονισμού</w:t>
      </w:r>
      <w:r>
        <w:rPr>
          <w:rFonts w:ascii="Cambria" w:hAnsi="Cambria"/>
          <w:color w:val="244061" w:themeColor="accent1" w:themeShade="80"/>
          <w:sz w:val="24"/>
          <w:szCs w:val="24"/>
        </w:rPr>
        <w:t xml:space="preserve"> </w:t>
      </w:r>
      <w:r>
        <w:rPr>
          <w:rFonts w:ascii="Cambria" w:hAnsi="Cambria"/>
          <w:color w:val="244061" w:themeColor="accent1" w:themeShade="80"/>
          <w:sz w:val="24"/>
          <w:szCs w:val="24"/>
          <w:lang w:val="en-US"/>
        </w:rPr>
        <w:t>de</w:t>
      </w:r>
      <w:r w:rsidRPr="006A0BE7">
        <w:rPr>
          <w:rFonts w:ascii="Cambria" w:hAnsi="Cambria"/>
          <w:color w:val="244061" w:themeColor="accent1" w:themeShade="80"/>
          <w:sz w:val="24"/>
          <w:szCs w:val="24"/>
        </w:rPr>
        <w:t xml:space="preserve"> </w:t>
      </w:r>
      <w:proofErr w:type="spellStart"/>
      <w:r>
        <w:rPr>
          <w:rFonts w:ascii="Cambria" w:hAnsi="Cambria"/>
          <w:color w:val="244061" w:themeColor="accent1" w:themeShade="80"/>
          <w:sz w:val="24"/>
          <w:szCs w:val="24"/>
          <w:lang w:val="en-US"/>
        </w:rPr>
        <w:t>minimis</w:t>
      </w:r>
      <w:proofErr w:type="spellEnd"/>
      <w:r w:rsidR="00B81143">
        <w:rPr>
          <w:rFonts w:ascii="Cambria" w:hAnsi="Cambria"/>
          <w:color w:val="244061" w:themeColor="accent1" w:themeShade="80"/>
          <w:sz w:val="24"/>
          <w:szCs w:val="24"/>
        </w:rPr>
        <w:t xml:space="preserve"> (καν. 1407/2013)</w:t>
      </w:r>
      <w:r>
        <w:rPr>
          <w:rFonts w:ascii="Cambria" w:hAnsi="Cambria"/>
          <w:color w:val="244061" w:themeColor="accent1" w:themeShade="80"/>
          <w:sz w:val="24"/>
          <w:szCs w:val="24"/>
        </w:rPr>
        <w:t xml:space="preserve">, </w:t>
      </w:r>
      <w:r w:rsidRPr="006A0BE7">
        <w:rPr>
          <w:rFonts w:ascii="Cambria" w:hAnsi="Cambria"/>
          <w:color w:val="244061" w:themeColor="accent1" w:themeShade="80"/>
          <w:sz w:val="24"/>
          <w:szCs w:val="24"/>
        </w:rPr>
        <w:t>με ανώτατο ποσοστό ενίσχυσης 60% των επιλέξιμων δαπανών</w:t>
      </w:r>
      <w:r>
        <w:rPr>
          <w:rFonts w:ascii="Cambria" w:hAnsi="Cambria"/>
          <w:color w:val="244061" w:themeColor="accent1" w:themeShade="80"/>
          <w:sz w:val="24"/>
          <w:szCs w:val="24"/>
        </w:rPr>
        <w:t>.</w:t>
      </w:r>
    </w:p>
    <w:p w:rsidR="0084245E" w:rsidRDefault="0084245E" w:rsidP="00BE1D4A">
      <w:pPr>
        <w:pStyle w:val="2"/>
        <w:spacing w:before="0" w:after="120" w:line="240" w:lineRule="auto"/>
        <w:jc w:val="both"/>
      </w:pPr>
      <w:bookmarkStart w:id="20" w:name="_Toc450909680"/>
      <w:r w:rsidRPr="0084245E">
        <w:t>19.2.</w:t>
      </w:r>
      <w:r w:rsidR="00DC1F41" w:rsidRPr="00DC1F41">
        <w:t>5</w:t>
      </w:r>
      <w:r w:rsidRPr="0084245E">
        <w:t>: ΒΑΣΙΚΕΣ ΥΠΗΡΕΣΙΕΣ &amp; ΑΝΑΠΛΑΣΗ ΧΩΡΙΩΝ ΣΕ ΑΓΡΟΤΙΚΕΣ ΠΕΡΙΟΧΕΣ</w:t>
      </w:r>
      <w:bookmarkEnd w:id="20"/>
    </w:p>
    <w:p w:rsidR="0084245E" w:rsidRDefault="0084245E" w:rsidP="00BE1D4A">
      <w:pPr>
        <w:spacing w:after="120" w:line="240" w:lineRule="auto"/>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20 καν. (ΕΕ) 1305/2013</w:t>
      </w:r>
    </w:p>
    <w:p w:rsidR="002578EB" w:rsidRDefault="002578EB" w:rsidP="002578EB">
      <w:pPr>
        <w:spacing w:after="120" w:line="240" w:lineRule="auto"/>
        <w:jc w:val="both"/>
        <w:rPr>
          <w:rFonts w:ascii="Cambria" w:hAnsi="Cambria"/>
          <w:color w:val="244061" w:themeColor="accent1" w:themeShade="80"/>
          <w:sz w:val="24"/>
          <w:szCs w:val="24"/>
        </w:rPr>
      </w:pPr>
      <w:r w:rsidRPr="00E210DB">
        <w:rPr>
          <w:rFonts w:ascii="Cambria" w:hAnsi="Cambria"/>
          <w:color w:val="244061" w:themeColor="accent1" w:themeShade="80"/>
          <w:sz w:val="24"/>
          <w:szCs w:val="24"/>
        </w:rPr>
        <w:t xml:space="preserve">Σε περίπτωση που η χρήση των υποδομών </w:t>
      </w:r>
      <w:r>
        <w:rPr>
          <w:rFonts w:ascii="Cambria" w:hAnsi="Cambria"/>
          <w:color w:val="244061" w:themeColor="accent1" w:themeShade="80"/>
          <w:sz w:val="24"/>
          <w:szCs w:val="24"/>
        </w:rPr>
        <w:t xml:space="preserve">είναι τοπική, ανοικτή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 </w:t>
      </w:r>
    </w:p>
    <w:p w:rsidR="002578EB" w:rsidRDefault="002578EB" w:rsidP="002578EB">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lastRenderedPageBreak/>
        <w:t>Σε διαφορετική περίπτωση ως ακολούθως:</w:t>
      </w:r>
    </w:p>
    <w:p w:rsidR="0084245E" w:rsidRPr="007911DB" w:rsidRDefault="0084245E" w:rsidP="00BE1D4A">
      <w:pPr>
        <w:pStyle w:val="3"/>
        <w:spacing w:before="0" w:after="120" w:line="240" w:lineRule="auto"/>
        <w:jc w:val="both"/>
        <w:rPr>
          <w:color w:val="244061" w:themeColor="accent1" w:themeShade="80"/>
          <w:sz w:val="24"/>
          <w:szCs w:val="24"/>
        </w:rPr>
      </w:pPr>
      <w:bookmarkStart w:id="21" w:name="_Toc450909681"/>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.1: Στήριξη για υποδομές μικρής κλίμακας (πχ. ύδρευση, αποχέτευση, κ.λπ.), συμπεριλαμβανομένης της εξοικονόμησης ενέργειας σε χρησιμοποιούμενα δημόσια κτίρια</w:t>
      </w:r>
      <w:bookmarkEnd w:id="21"/>
    </w:p>
    <w:p w:rsidR="005E4B38" w:rsidRDefault="00E210DB"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περίπτωση που </w:t>
      </w:r>
      <w:r w:rsidR="005E4B38">
        <w:rPr>
          <w:rFonts w:ascii="Cambria" w:hAnsi="Cambria"/>
          <w:color w:val="244061" w:themeColor="accent1" w:themeShade="80"/>
          <w:sz w:val="24"/>
          <w:szCs w:val="24"/>
        </w:rPr>
        <w:t xml:space="preserve">η χρηματοδότηση της κατασκευής ή της αναβάθμισης τοπικών υποδομών που συμβάλλουν σε τοπικό επίπεδο στη βελτίωση του επιχειρηματικού και </w:t>
      </w:r>
      <w:r w:rsidR="00B4553C">
        <w:rPr>
          <w:rFonts w:ascii="Cambria" w:hAnsi="Cambria"/>
          <w:color w:val="244061" w:themeColor="accent1" w:themeShade="80"/>
          <w:sz w:val="24"/>
          <w:szCs w:val="24"/>
        </w:rPr>
        <w:t>καταναλωτικού</w:t>
      </w:r>
      <w:r w:rsidR="005E4B38">
        <w:rPr>
          <w:rFonts w:ascii="Cambria" w:hAnsi="Cambria"/>
          <w:color w:val="244061" w:themeColor="accent1" w:themeShade="80"/>
          <w:sz w:val="24"/>
          <w:szCs w:val="24"/>
        </w:rPr>
        <w:t xml:space="preserve"> περιβάλλοντος, η στήριξη δίνεται βάσει του άρθρου 56 καν. (ΕΕ) 651/2014 και το ποσό ενίσχυσης δεν υπερβαίνει τη διαφορά μεταξύ των επιλέξιμων δαπανών και του κέρδους εκμετάλλευσης της επένδυσης. </w:t>
      </w:r>
      <w:r w:rsidR="00AC55AD">
        <w:rPr>
          <w:rFonts w:ascii="Cambria" w:hAnsi="Cambria"/>
          <w:color w:val="244061" w:themeColor="accent1" w:themeShade="80"/>
          <w:sz w:val="24"/>
          <w:szCs w:val="24"/>
        </w:rPr>
        <w:t xml:space="preserve">Για παράδειγμα όταν σε ένα έργο ύδρευσης επιβάλλονται για τη χρήση του ανταποδοτικά τέλη αυτά θα πρέπει να αφαιρούνται από το συνολικό επιλέξιμο ποσό και το ποσοστό ενίσχυσης διαμορφώνεται ανάλογα. </w:t>
      </w:r>
    </w:p>
    <w:p w:rsidR="0084245E" w:rsidRPr="007911DB" w:rsidRDefault="0084245E" w:rsidP="00BE1D4A">
      <w:pPr>
        <w:pStyle w:val="3"/>
        <w:spacing w:before="0" w:after="120" w:line="240" w:lineRule="auto"/>
        <w:jc w:val="both"/>
        <w:rPr>
          <w:color w:val="244061" w:themeColor="accent1" w:themeShade="80"/>
          <w:sz w:val="24"/>
          <w:szCs w:val="24"/>
        </w:rPr>
      </w:pPr>
      <w:bookmarkStart w:id="22" w:name="_Toc450909682"/>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 xml:space="preserve">.2: </w:t>
      </w:r>
      <w:r w:rsidR="00CE7C4E" w:rsidRPr="007911DB">
        <w:rPr>
          <w:color w:val="244061" w:themeColor="accent1" w:themeShade="80"/>
          <w:sz w:val="24"/>
          <w:szCs w:val="24"/>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bookmarkEnd w:id="22"/>
    </w:p>
    <w:p w:rsidR="009C2989" w:rsidRDefault="009C2989" w:rsidP="009C2989">
      <w:pPr>
        <w:spacing w:after="120" w:line="240" w:lineRule="auto"/>
        <w:jc w:val="both"/>
        <w:rPr>
          <w:rFonts w:ascii="Cambria" w:hAnsi="Cambria"/>
          <w:color w:val="244061" w:themeColor="accent1" w:themeShade="80"/>
          <w:sz w:val="24"/>
          <w:szCs w:val="24"/>
        </w:rPr>
      </w:pPr>
      <w:r w:rsidRPr="00E210DB">
        <w:rPr>
          <w:rFonts w:ascii="Cambria" w:hAnsi="Cambria"/>
          <w:color w:val="244061" w:themeColor="accent1" w:themeShade="80"/>
          <w:sz w:val="24"/>
          <w:szCs w:val="24"/>
        </w:rPr>
        <w:t xml:space="preserve">Σε περίπτωση που η χρήση των υποδομών </w:t>
      </w:r>
      <w:r>
        <w:rPr>
          <w:rFonts w:ascii="Cambria" w:hAnsi="Cambria"/>
          <w:color w:val="244061" w:themeColor="accent1" w:themeShade="80"/>
          <w:sz w:val="24"/>
          <w:szCs w:val="24"/>
        </w:rPr>
        <w:t xml:space="preserve">είναι τοπική, ανοικτή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 </w:t>
      </w:r>
    </w:p>
    <w:p w:rsidR="00CE7C4E" w:rsidRPr="007911DB" w:rsidRDefault="00CE7C4E" w:rsidP="00BE1D4A">
      <w:pPr>
        <w:pStyle w:val="3"/>
        <w:spacing w:before="0" w:after="120" w:line="240" w:lineRule="auto"/>
        <w:jc w:val="both"/>
        <w:rPr>
          <w:color w:val="244061" w:themeColor="accent1" w:themeShade="80"/>
          <w:sz w:val="24"/>
          <w:szCs w:val="24"/>
        </w:rPr>
      </w:pPr>
      <w:bookmarkStart w:id="23" w:name="_Toc450909683"/>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.3: Στήριξη για τη δημιουργία, βελτίωση ή επέκταση υπηρεσιών αναψυχής, καθώς και των σχετικών υποδομών</w:t>
      </w:r>
      <w:bookmarkEnd w:id="23"/>
    </w:p>
    <w:p w:rsidR="00285531" w:rsidRDefault="00745E7E" w:rsidP="00285531">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 του άρθρου</w:t>
      </w:r>
      <w:r>
        <w:rPr>
          <w:rFonts w:ascii="Cambria" w:hAnsi="Cambria"/>
          <w:color w:val="244061" w:themeColor="accent1" w:themeShade="80"/>
          <w:sz w:val="24"/>
          <w:szCs w:val="24"/>
        </w:rPr>
        <w:t xml:space="preserve"> 55 καν. (ΕΕ) 651/2014</w:t>
      </w:r>
      <w:r w:rsidR="00285531">
        <w:rPr>
          <w:rFonts w:ascii="Cambria" w:hAnsi="Cambria"/>
          <w:color w:val="244061" w:themeColor="accent1" w:themeShade="80"/>
          <w:sz w:val="24"/>
          <w:szCs w:val="24"/>
        </w:rPr>
        <w:t xml:space="preserve"> και το μέγιστο ποσοστό ενίσχυσης μπορεί να ανέλθει έως και το 80% των επιλέξιμων δαπανών. </w:t>
      </w:r>
    </w:p>
    <w:p w:rsidR="00745E7E" w:rsidRPr="007911DB" w:rsidRDefault="00FD03B5" w:rsidP="00745E7E">
      <w:pPr>
        <w:pStyle w:val="3"/>
        <w:spacing w:before="0" w:after="120" w:line="240" w:lineRule="auto"/>
        <w:jc w:val="both"/>
        <w:rPr>
          <w:color w:val="244061" w:themeColor="accent1" w:themeShade="80"/>
          <w:sz w:val="24"/>
          <w:szCs w:val="24"/>
        </w:rPr>
      </w:pPr>
      <w:bookmarkStart w:id="24" w:name="_Toc450909684"/>
      <w:r w:rsidRPr="007911DB">
        <w:rPr>
          <w:color w:val="244061" w:themeColor="accent1" w:themeShade="80"/>
          <w:sz w:val="24"/>
          <w:szCs w:val="24"/>
        </w:rPr>
        <w:t>19.2.</w:t>
      </w:r>
      <w:r w:rsidRPr="00DC1F41">
        <w:rPr>
          <w:color w:val="244061" w:themeColor="accent1" w:themeShade="80"/>
          <w:sz w:val="24"/>
          <w:szCs w:val="24"/>
        </w:rPr>
        <w:t>5</w:t>
      </w:r>
      <w:r w:rsidRPr="007911DB">
        <w:rPr>
          <w:color w:val="244061" w:themeColor="accent1" w:themeShade="80"/>
          <w:sz w:val="24"/>
          <w:szCs w:val="24"/>
        </w:rPr>
        <w:t>.</w:t>
      </w:r>
      <w:r>
        <w:rPr>
          <w:color w:val="244061" w:themeColor="accent1" w:themeShade="80"/>
          <w:sz w:val="24"/>
          <w:szCs w:val="24"/>
        </w:rPr>
        <w:t>4</w:t>
      </w:r>
      <w:r w:rsidRPr="007911DB">
        <w:rPr>
          <w:color w:val="244061" w:themeColor="accent1" w:themeShade="80"/>
          <w:sz w:val="24"/>
          <w:szCs w:val="24"/>
        </w:rPr>
        <w:t xml:space="preserve">: </w:t>
      </w:r>
      <w:r w:rsidR="00745E7E" w:rsidRPr="007911DB">
        <w:rPr>
          <w:color w:val="244061" w:themeColor="accent1" w:themeShade="80"/>
          <w:sz w:val="24"/>
          <w:szCs w:val="24"/>
        </w:rPr>
        <w:t>Στήριξη για τη δημιουργία, βελτίωση ή επέκταση υπηρεσιών πολιτισμού, καθώς και των σχετικών υποδομών</w:t>
      </w:r>
      <w:bookmarkEnd w:id="24"/>
    </w:p>
    <w:p w:rsidR="00745E7E" w:rsidRDefault="00745E7E" w:rsidP="00745E7E">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 του άρθρου</w:t>
      </w:r>
      <w:r>
        <w:rPr>
          <w:rFonts w:ascii="Cambria" w:hAnsi="Cambria"/>
          <w:color w:val="244061" w:themeColor="accent1" w:themeShade="80"/>
          <w:sz w:val="24"/>
          <w:szCs w:val="24"/>
        </w:rPr>
        <w:t xml:space="preserve"> 53 καν. (ΕΕ) 651/2014  και το μέγιστο ποσοστό ενίσχυσης μπορεί να ανέλθει έως και το 80% των επιλέξιμων δαπανών. </w:t>
      </w:r>
    </w:p>
    <w:p w:rsidR="00CE7C4E" w:rsidRPr="007911DB" w:rsidRDefault="00CE7C4E" w:rsidP="00BE1D4A">
      <w:pPr>
        <w:pStyle w:val="3"/>
        <w:spacing w:before="0" w:after="120" w:line="240" w:lineRule="auto"/>
        <w:jc w:val="both"/>
        <w:rPr>
          <w:color w:val="244061" w:themeColor="accent1" w:themeShade="80"/>
          <w:sz w:val="24"/>
          <w:szCs w:val="24"/>
        </w:rPr>
      </w:pPr>
      <w:bookmarkStart w:id="25" w:name="_Toc450909685"/>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w:t>
      </w:r>
      <w:r w:rsidR="00FD03B5">
        <w:rPr>
          <w:color w:val="244061" w:themeColor="accent1" w:themeShade="80"/>
          <w:sz w:val="24"/>
          <w:szCs w:val="24"/>
        </w:rPr>
        <w:t>5</w:t>
      </w:r>
      <w:r w:rsidRPr="007911DB">
        <w:rPr>
          <w:color w:val="244061" w:themeColor="accent1" w:themeShade="80"/>
          <w:sz w:val="24"/>
          <w:szCs w:val="24"/>
        </w:rPr>
        <w:t>: Στήριξη για επενδύσεις για δημόσια χρήση σε υποδομές αναψυχής, τουριστικές πληροφορίες και τουριστικές υποδομές μικρής κλίμακας</w:t>
      </w:r>
      <w:bookmarkEnd w:id="25"/>
    </w:p>
    <w:p w:rsidR="002578EB" w:rsidRDefault="002578EB" w:rsidP="002578EB">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περίπτωση που η χρηματοδότηση της κατασκευής ή της αναβάθμισης τοπικών υποδομών που συμβάλλουν σε τοπικό επίπεδο στη βελτίωση του επιχειρηματικού και καταναλωτικού περιβάλλοντος, η στήριξη δίνεται βάσει του άρθρου 56 καν. (ΕΕ) 651/2014 και το ποσό ενίσχυσης δεν υπερβαίνει τη διαφορά μεταξύ των επιλέξιμων δαπανών και του κέρδους εκμετάλλευσης της επένδυσης. </w:t>
      </w:r>
    </w:p>
    <w:p w:rsidR="00CE7C4E" w:rsidRPr="007911DB" w:rsidRDefault="00620464" w:rsidP="00BE1D4A">
      <w:pPr>
        <w:pStyle w:val="3"/>
        <w:spacing w:before="0" w:after="120" w:line="240" w:lineRule="auto"/>
        <w:jc w:val="both"/>
        <w:rPr>
          <w:color w:val="244061" w:themeColor="accent1" w:themeShade="80"/>
          <w:sz w:val="24"/>
          <w:szCs w:val="24"/>
        </w:rPr>
      </w:pPr>
      <w:bookmarkStart w:id="26" w:name="_Toc450909686"/>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w:t>
      </w:r>
      <w:r w:rsidR="00FD03B5">
        <w:rPr>
          <w:color w:val="244061" w:themeColor="accent1" w:themeShade="80"/>
          <w:sz w:val="24"/>
          <w:szCs w:val="24"/>
        </w:rPr>
        <w:t>6</w:t>
      </w:r>
      <w:r w:rsidRPr="007911DB">
        <w:rPr>
          <w:color w:val="244061" w:themeColor="accent1" w:themeShade="80"/>
          <w:sz w:val="24"/>
          <w:szCs w:val="24"/>
        </w:rPr>
        <w:t xml:space="preserve">: </w:t>
      </w:r>
      <w:r w:rsidR="00CE7C4E" w:rsidRPr="007911DB">
        <w:rPr>
          <w:color w:val="244061" w:themeColor="accent1" w:themeShade="80"/>
          <w:sz w:val="24"/>
          <w:szCs w:val="24"/>
        </w:rPr>
        <w:t xml:space="preserve">Στήριξη για μελέτες και επενδύσεις, που συνδέονται με τη διατήρηση, αποκατάσταση και αναβάθμιση της </w:t>
      </w:r>
      <w:r w:rsidR="0062279D" w:rsidRPr="007911DB">
        <w:rPr>
          <w:color w:val="244061" w:themeColor="accent1" w:themeShade="80"/>
          <w:sz w:val="24"/>
          <w:szCs w:val="24"/>
        </w:rPr>
        <w:t xml:space="preserve">πολιτιστικής και </w:t>
      </w:r>
      <w:r w:rsidR="00CE7C4E" w:rsidRPr="007911DB">
        <w:rPr>
          <w:color w:val="244061" w:themeColor="accent1" w:themeShade="80"/>
          <w:sz w:val="24"/>
          <w:szCs w:val="24"/>
        </w:rPr>
        <w:t>φυσικής κληρονομιάς των χωριών, των αγροτικών τοπίων και των τόπων με υψηλή φυσική αξία</w:t>
      </w:r>
      <w:r w:rsidR="0062279D" w:rsidRPr="007911DB">
        <w:rPr>
          <w:color w:val="244061" w:themeColor="accent1" w:themeShade="80"/>
          <w:sz w:val="24"/>
          <w:szCs w:val="24"/>
        </w:rPr>
        <w:t xml:space="preserve">, συμπεριλαμβανομένων των σχετικών </w:t>
      </w:r>
      <w:proofErr w:type="spellStart"/>
      <w:r w:rsidR="0062279D" w:rsidRPr="007911DB">
        <w:rPr>
          <w:color w:val="244061" w:themeColor="accent1" w:themeShade="80"/>
          <w:sz w:val="24"/>
          <w:szCs w:val="24"/>
        </w:rPr>
        <w:t>κοινωνικο</w:t>
      </w:r>
      <w:proofErr w:type="spellEnd"/>
      <w:r w:rsidR="0062279D" w:rsidRPr="007911DB">
        <w:rPr>
          <w:color w:val="244061" w:themeColor="accent1" w:themeShade="80"/>
          <w:sz w:val="24"/>
          <w:szCs w:val="24"/>
        </w:rPr>
        <w:t>-οικονομικών πτυχών, καθώς και δράσεις περιβαλλοντικής ευαισθητοποίησης</w:t>
      </w:r>
      <w:bookmarkEnd w:id="26"/>
    </w:p>
    <w:p w:rsidR="00CE7C4E" w:rsidRDefault="0062279D" w:rsidP="00BE1D4A">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 του άρθρου</w:t>
      </w:r>
      <w:r>
        <w:rPr>
          <w:rFonts w:ascii="Cambria" w:hAnsi="Cambria"/>
          <w:color w:val="244061" w:themeColor="accent1" w:themeShade="80"/>
          <w:sz w:val="24"/>
          <w:szCs w:val="24"/>
        </w:rPr>
        <w:t xml:space="preserve"> 53 καν. (ΕΕ) 651/2014 </w:t>
      </w:r>
      <w:r w:rsidR="00BE030B">
        <w:rPr>
          <w:rFonts w:ascii="Cambria" w:hAnsi="Cambria"/>
          <w:color w:val="244061" w:themeColor="accent1" w:themeShade="80"/>
          <w:sz w:val="24"/>
          <w:szCs w:val="24"/>
        </w:rPr>
        <w:t xml:space="preserve">και </w:t>
      </w:r>
      <w:r>
        <w:rPr>
          <w:rFonts w:ascii="Cambria" w:hAnsi="Cambria"/>
          <w:color w:val="244061" w:themeColor="accent1" w:themeShade="80"/>
          <w:sz w:val="24"/>
          <w:szCs w:val="24"/>
        </w:rPr>
        <w:t xml:space="preserve">το μέγιστο ποσοστό ενίσχυσης μπορεί να ανέλθει έως και το 80% των επιλέξιμων δαπανών. </w:t>
      </w:r>
    </w:p>
    <w:p w:rsidR="00CE7C4E" w:rsidRPr="00FD03B5" w:rsidRDefault="00620464" w:rsidP="00BE1D4A">
      <w:pPr>
        <w:pStyle w:val="3"/>
        <w:spacing w:before="0" w:after="120" w:line="240" w:lineRule="auto"/>
        <w:jc w:val="both"/>
        <w:rPr>
          <w:b w:val="0"/>
          <w:color w:val="244061" w:themeColor="accent1" w:themeShade="80"/>
          <w:sz w:val="24"/>
          <w:szCs w:val="24"/>
        </w:rPr>
      </w:pPr>
      <w:bookmarkStart w:id="27" w:name="_Toc450909687"/>
      <w:r w:rsidRPr="007911DB">
        <w:rPr>
          <w:color w:val="244061" w:themeColor="accent1" w:themeShade="80"/>
          <w:sz w:val="24"/>
          <w:szCs w:val="24"/>
        </w:rPr>
        <w:t>19.2.</w:t>
      </w:r>
      <w:r w:rsidR="00DC1F41" w:rsidRPr="00DC1F41">
        <w:rPr>
          <w:color w:val="244061" w:themeColor="accent1" w:themeShade="80"/>
          <w:sz w:val="24"/>
          <w:szCs w:val="24"/>
        </w:rPr>
        <w:t>5</w:t>
      </w:r>
      <w:r w:rsidRPr="007911DB">
        <w:rPr>
          <w:color w:val="244061" w:themeColor="accent1" w:themeShade="80"/>
          <w:sz w:val="24"/>
          <w:szCs w:val="24"/>
        </w:rPr>
        <w:t>.</w:t>
      </w:r>
      <w:r w:rsidR="00FD03B5">
        <w:rPr>
          <w:color w:val="244061" w:themeColor="accent1" w:themeShade="80"/>
          <w:sz w:val="24"/>
          <w:szCs w:val="24"/>
        </w:rPr>
        <w:t>7</w:t>
      </w:r>
      <w:r w:rsidRPr="007911DB">
        <w:rPr>
          <w:color w:val="244061" w:themeColor="accent1" w:themeShade="80"/>
          <w:sz w:val="24"/>
          <w:szCs w:val="24"/>
        </w:rPr>
        <w:t xml:space="preserve">: </w:t>
      </w:r>
      <w:r w:rsidR="00CE7C4E" w:rsidRPr="007911DB">
        <w:rPr>
          <w:color w:val="244061" w:themeColor="accent1" w:themeShade="80"/>
          <w:sz w:val="24"/>
          <w:szCs w:val="24"/>
        </w:rPr>
        <w:t>Στήριξη για επενδύσεις που στοχεύουν στη μετεγκατάσταση κτιρίων γεωργικών εκμεταλλεύσεων</w:t>
      </w:r>
      <w:r w:rsidR="0089178B" w:rsidRPr="007911DB">
        <w:rPr>
          <w:color w:val="244061" w:themeColor="accent1" w:themeShade="80"/>
          <w:sz w:val="24"/>
          <w:szCs w:val="24"/>
        </w:rPr>
        <w:t>, εξαιρουμένων του εκσυγχρονισμού και της αύξησης παραγωγικής ικανότητας των εγκαταστάσεων</w:t>
      </w:r>
      <w:bookmarkEnd w:id="27"/>
      <w:r w:rsidR="00FD03B5">
        <w:rPr>
          <w:color w:val="244061" w:themeColor="accent1" w:themeShade="80"/>
          <w:sz w:val="24"/>
          <w:szCs w:val="24"/>
        </w:rPr>
        <w:t xml:space="preserve"> </w:t>
      </w:r>
    </w:p>
    <w:p w:rsidR="00AC55AD" w:rsidRDefault="00AC55AD" w:rsidP="00AC55AD">
      <w:pPr>
        <w:spacing w:after="120" w:line="240" w:lineRule="auto"/>
        <w:jc w:val="both"/>
        <w:rPr>
          <w:rFonts w:ascii="Cambria" w:hAnsi="Cambria"/>
          <w:color w:val="244061" w:themeColor="accent1" w:themeShade="80"/>
          <w:sz w:val="24"/>
          <w:szCs w:val="24"/>
        </w:rPr>
      </w:pPr>
      <w:r w:rsidRPr="006A0BE7">
        <w:rPr>
          <w:rFonts w:ascii="Cambria" w:hAnsi="Cambria"/>
          <w:color w:val="244061" w:themeColor="accent1" w:themeShade="80"/>
          <w:sz w:val="24"/>
          <w:szCs w:val="24"/>
        </w:rPr>
        <w:t>Η στήριξη παρέχεται βάσει του άρθρου</w:t>
      </w:r>
      <w:r>
        <w:rPr>
          <w:rFonts w:ascii="Cambria" w:hAnsi="Cambria"/>
          <w:color w:val="244061" w:themeColor="accent1" w:themeShade="80"/>
          <w:sz w:val="24"/>
          <w:szCs w:val="24"/>
        </w:rPr>
        <w:t xml:space="preserve"> 16 καν. (ΕΕ) 702/2014, εφόσον η μετεγκατάσταση του κτιρίου γεωργικής εκμετάλλευσης εξυπηρετεί στόχο δημοσίου συμφέροντος. </w:t>
      </w:r>
    </w:p>
    <w:p w:rsidR="0089178B" w:rsidRDefault="0089178B"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lastRenderedPageBreak/>
        <w:t>Η</w:t>
      </w:r>
      <w:r w:rsidR="00BE030B">
        <w:rPr>
          <w:rFonts w:ascii="Cambria" w:hAnsi="Cambria"/>
          <w:color w:val="244061" w:themeColor="accent1" w:themeShade="80"/>
          <w:sz w:val="24"/>
          <w:szCs w:val="24"/>
        </w:rPr>
        <w:t xml:space="preserve"> ένταση ενίσχυσης ανέρχεται έως το 100% των επιλέξιμων δαπανών για αυτές τις δραστηριότητες</w:t>
      </w:r>
      <w:r>
        <w:rPr>
          <w:rFonts w:ascii="Cambria" w:hAnsi="Cambria"/>
          <w:color w:val="244061" w:themeColor="accent1" w:themeShade="80"/>
          <w:sz w:val="24"/>
          <w:szCs w:val="24"/>
        </w:rPr>
        <w:t xml:space="preserve"> όταν </w:t>
      </w:r>
      <w:r w:rsidRPr="0089178B">
        <w:rPr>
          <w:rFonts w:ascii="Cambria" w:hAnsi="Cambria"/>
          <w:color w:val="244061" w:themeColor="accent1" w:themeShade="80"/>
          <w:sz w:val="24"/>
          <w:szCs w:val="24"/>
        </w:rPr>
        <w:t>η μετεγκατάσταση</w:t>
      </w:r>
      <w:r>
        <w:rPr>
          <w:rFonts w:ascii="Cambria" w:hAnsi="Cambria"/>
          <w:color w:val="244061" w:themeColor="accent1" w:themeShade="80"/>
          <w:sz w:val="24"/>
          <w:szCs w:val="24"/>
        </w:rPr>
        <w:t>:</w:t>
      </w:r>
    </w:p>
    <w:p w:rsidR="0089178B" w:rsidRDefault="0089178B" w:rsidP="00BE1D4A">
      <w:pPr>
        <w:pStyle w:val="aa"/>
        <w:numPr>
          <w:ilvl w:val="0"/>
          <w:numId w:val="22"/>
        </w:numPr>
        <w:spacing w:after="120" w:line="240" w:lineRule="auto"/>
        <w:ind w:left="284" w:hanging="284"/>
        <w:jc w:val="both"/>
        <w:rPr>
          <w:rFonts w:ascii="Cambria" w:hAnsi="Cambria"/>
          <w:color w:val="244061" w:themeColor="accent1" w:themeShade="80"/>
          <w:sz w:val="24"/>
          <w:szCs w:val="24"/>
        </w:rPr>
      </w:pPr>
      <w:r w:rsidRPr="0089178B">
        <w:rPr>
          <w:rFonts w:ascii="Cambria" w:hAnsi="Cambria"/>
          <w:color w:val="244061" w:themeColor="accent1" w:themeShade="80"/>
          <w:sz w:val="24"/>
          <w:szCs w:val="24"/>
        </w:rPr>
        <w:t xml:space="preserve">συνίσταται στην κατεδάφιση, την απομάκρυνση και ανακατασκευή </w:t>
      </w:r>
      <w:r>
        <w:rPr>
          <w:rFonts w:ascii="Cambria" w:hAnsi="Cambria"/>
          <w:color w:val="244061" w:themeColor="accent1" w:themeShade="80"/>
          <w:sz w:val="24"/>
          <w:szCs w:val="24"/>
        </w:rPr>
        <w:t xml:space="preserve">των </w:t>
      </w:r>
      <w:r w:rsidRPr="0089178B">
        <w:rPr>
          <w:rFonts w:ascii="Cambria" w:hAnsi="Cambria"/>
          <w:color w:val="244061" w:themeColor="accent1" w:themeShade="80"/>
          <w:sz w:val="24"/>
          <w:szCs w:val="24"/>
        </w:rPr>
        <w:t xml:space="preserve">υφιστάμενων εγκαταστάσεων </w:t>
      </w:r>
    </w:p>
    <w:p w:rsidR="00CE7C4E" w:rsidRPr="0089178B" w:rsidRDefault="0089178B" w:rsidP="00BE1D4A">
      <w:pPr>
        <w:pStyle w:val="aa"/>
        <w:numPr>
          <w:ilvl w:val="0"/>
          <w:numId w:val="22"/>
        </w:numPr>
        <w:spacing w:after="120" w:line="240" w:lineRule="auto"/>
        <w:ind w:left="284" w:hanging="284"/>
        <w:jc w:val="both"/>
        <w:rPr>
          <w:rFonts w:ascii="Cambria" w:hAnsi="Cambria"/>
          <w:color w:val="244061" w:themeColor="accent1" w:themeShade="80"/>
          <w:sz w:val="24"/>
          <w:szCs w:val="24"/>
        </w:rPr>
      </w:pPr>
      <w:r>
        <w:rPr>
          <w:rFonts w:ascii="Cambria" w:hAnsi="Cambria"/>
          <w:color w:val="244061" w:themeColor="accent1" w:themeShade="80"/>
          <w:sz w:val="24"/>
          <w:szCs w:val="24"/>
        </w:rPr>
        <w:t>αφορά δραστηριότητες πλησίον αγροτικών οικισμών, με στόχο τη βελτίωση της ποιότητας ζωής ή τη βελτίωση των περιβαλλοντικών επιπτώσεων του αγροτικού οικισμού.</w:t>
      </w:r>
    </w:p>
    <w:p w:rsidR="00DC1F41" w:rsidRPr="00DC1F41" w:rsidRDefault="0089178B" w:rsidP="00BE1D4A">
      <w:pPr>
        <w:pStyle w:val="2"/>
        <w:spacing w:before="0" w:after="120" w:line="240" w:lineRule="auto"/>
        <w:jc w:val="both"/>
      </w:pPr>
      <w:bookmarkStart w:id="28" w:name="_Toc450909688"/>
      <w:r w:rsidRPr="0089178B">
        <w:t>19.2.</w:t>
      </w:r>
      <w:r w:rsidR="00DC1F41" w:rsidRPr="00DC1F41">
        <w:t>6</w:t>
      </w:r>
      <w:r w:rsidRPr="0089178B">
        <w:t xml:space="preserve">: </w:t>
      </w:r>
      <w:r w:rsidR="00DC1F41" w:rsidRPr="00DC1F41">
        <w:t>ΕΠΕΝΔΥΣΕΙΣ ΣΤΗΝ ΑΝΑΠΤΥΞΗ ΔΑΣΙΚΩΝ ΠΕΡΙΟΧΩΝ ΚΑΙ ΣΤΗ ΒΕΛΤΙΩΣΗ ΤΗΣ ΒΙΩΣΙΜΟΤΗΤΑΣ ΤΩΝ ΔΑΣΩΝ</w:t>
      </w:r>
      <w:bookmarkEnd w:id="28"/>
    </w:p>
    <w:p w:rsidR="00DC1F41" w:rsidRDefault="00DC1F41" w:rsidP="00BE1D4A">
      <w:pPr>
        <w:pStyle w:val="3"/>
        <w:spacing w:before="0" w:after="120" w:line="240" w:lineRule="auto"/>
        <w:jc w:val="both"/>
        <w:rPr>
          <w:color w:val="244061" w:themeColor="accent1" w:themeShade="80"/>
          <w:sz w:val="24"/>
          <w:szCs w:val="24"/>
        </w:rPr>
      </w:pPr>
      <w:bookmarkStart w:id="29" w:name="_Toc450909689"/>
      <w:r w:rsidRPr="00DC1F41">
        <w:rPr>
          <w:color w:val="244061" w:themeColor="accent1" w:themeShade="80"/>
          <w:sz w:val="24"/>
          <w:szCs w:val="24"/>
        </w:rPr>
        <w:t xml:space="preserve">19.2.6.1: </w:t>
      </w:r>
      <w:r w:rsidR="00C6252A">
        <w:rPr>
          <w:color w:val="244061" w:themeColor="accent1" w:themeShade="80"/>
          <w:sz w:val="24"/>
          <w:szCs w:val="24"/>
        </w:rPr>
        <w:t xml:space="preserve">Πρόληψη, αποκατάσταση </w:t>
      </w:r>
      <w:r w:rsidRPr="00DC1F41">
        <w:rPr>
          <w:color w:val="244061" w:themeColor="accent1" w:themeShade="80"/>
          <w:sz w:val="24"/>
          <w:szCs w:val="24"/>
        </w:rPr>
        <w:t>δασών και δασικών εκτάσεων από πυρκαγιές και άλλες φυσικές καταστροφές και καταστροφικά συμβάντα</w:t>
      </w:r>
      <w:r w:rsidR="00AC55AD">
        <w:rPr>
          <w:rStyle w:val="a9"/>
          <w:color w:val="244061" w:themeColor="accent1" w:themeShade="80"/>
          <w:sz w:val="24"/>
          <w:szCs w:val="24"/>
        </w:rPr>
        <w:footnoteReference w:id="15"/>
      </w:r>
      <w:bookmarkEnd w:id="29"/>
    </w:p>
    <w:p w:rsidR="00C6252A" w:rsidRDefault="00C6252A" w:rsidP="00BE1D4A">
      <w:pPr>
        <w:spacing w:after="120" w:line="240" w:lineRule="auto"/>
        <w:jc w:val="both"/>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24 καν. (ΕΕ) 1305/2013</w:t>
      </w:r>
    </w:p>
    <w:p w:rsidR="001E520B" w:rsidRDefault="001E520B" w:rsidP="00BE1D4A">
      <w:pPr>
        <w:spacing w:after="120" w:line="240" w:lineRule="auto"/>
        <w:jc w:val="both"/>
        <w:rPr>
          <w:rFonts w:ascii="Cambria" w:hAnsi="Cambria"/>
          <w:color w:val="244061" w:themeColor="accent1" w:themeShade="80"/>
          <w:sz w:val="24"/>
          <w:szCs w:val="24"/>
        </w:rPr>
      </w:pPr>
      <w:r w:rsidRPr="00DC1F41">
        <w:rPr>
          <w:rFonts w:ascii="Cambria" w:hAnsi="Cambria"/>
          <w:color w:val="244061" w:themeColor="accent1" w:themeShade="80"/>
          <w:sz w:val="24"/>
          <w:szCs w:val="24"/>
        </w:rPr>
        <w:t xml:space="preserve">Για τις ενισχύσεις που αφορούν σε πρόληψη </w:t>
      </w:r>
      <w:r>
        <w:rPr>
          <w:rFonts w:ascii="Cambria" w:hAnsi="Cambria"/>
          <w:color w:val="244061" w:themeColor="accent1" w:themeShade="80"/>
          <w:sz w:val="24"/>
          <w:szCs w:val="24"/>
        </w:rPr>
        <w:t xml:space="preserve">ή αποκατάσταση </w:t>
      </w:r>
      <w:r w:rsidRPr="00DC1F41">
        <w:rPr>
          <w:rFonts w:ascii="Cambria" w:hAnsi="Cambria"/>
          <w:color w:val="244061" w:themeColor="accent1" w:themeShade="80"/>
          <w:sz w:val="24"/>
          <w:szCs w:val="24"/>
        </w:rPr>
        <w:t xml:space="preserve">ζημιών σε δάση και δασικές εκτάσεις, που χορηγούνται σε δημόσιους &amp; ιδιώτες κατόχους δασικών εκμεταλλεύσεων &amp; σε άλλους φορείς, εφαρμόζεται το άρθρο 34 </w:t>
      </w:r>
      <w:r>
        <w:rPr>
          <w:rFonts w:ascii="Cambria" w:hAnsi="Cambria"/>
          <w:color w:val="244061" w:themeColor="accent1" w:themeShade="80"/>
          <w:sz w:val="24"/>
          <w:szCs w:val="24"/>
        </w:rPr>
        <w:t>καν. (ΕΕ) 702/2014</w:t>
      </w:r>
      <w:r w:rsidRPr="00DC1F41">
        <w:rPr>
          <w:rFonts w:ascii="Cambria" w:hAnsi="Cambria"/>
          <w:color w:val="244061" w:themeColor="accent1" w:themeShade="80"/>
          <w:sz w:val="24"/>
          <w:szCs w:val="24"/>
        </w:rPr>
        <w:t>, με ένταση ενίσχυσης, που φθάνει μέχρι το 100% των επιλέξιμων δαπανών. </w:t>
      </w:r>
    </w:p>
    <w:p w:rsidR="00DC1F41" w:rsidRDefault="00DC1F41" w:rsidP="00BE1D4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Η σχετική δράση </w:t>
      </w:r>
      <w:r w:rsidR="00C6252A">
        <w:rPr>
          <w:rFonts w:ascii="Cambria" w:hAnsi="Cambria"/>
          <w:color w:val="244061" w:themeColor="accent1" w:themeShade="80"/>
          <w:sz w:val="24"/>
          <w:szCs w:val="24"/>
        </w:rPr>
        <w:t>επί δημοσίων εκτάσεων θα πρέπει να υλοποιηθεί βάσει του άρθρου 100 (Προγραμματικές Συμβάσεις) του Ν. 4014/11 (ΦΕΚ 209</w:t>
      </w:r>
      <w:r w:rsidR="00C6252A" w:rsidRPr="00C6252A">
        <w:rPr>
          <w:rFonts w:ascii="Cambria" w:hAnsi="Cambria"/>
          <w:color w:val="244061" w:themeColor="accent1" w:themeShade="80"/>
          <w:sz w:val="24"/>
          <w:szCs w:val="24"/>
          <w:vertAlign w:val="superscript"/>
        </w:rPr>
        <w:t>Α</w:t>
      </w:r>
      <w:r w:rsidR="00C6252A">
        <w:rPr>
          <w:rFonts w:ascii="Cambria" w:hAnsi="Cambria"/>
          <w:color w:val="244061" w:themeColor="accent1" w:themeShade="80"/>
          <w:sz w:val="24"/>
          <w:szCs w:val="24"/>
        </w:rPr>
        <w:t xml:space="preserve">/21-9-2011). </w:t>
      </w:r>
    </w:p>
    <w:p w:rsidR="0084245E" w:rsidRDefault="00C6252A" w:rsidP="00BE1D4A">
      <w:pPr>
        <w:pStyle w:val="3"/>
        <w:spacing w:before="0" w:after="120" w:line="240" w:lineRule="auto"/>
        <w:jc w:val="both"/>
        <w:rPr>
          <w:color w:val="244061" w:themeColor="accent1" w:themeShade="80"/>
          <w:sz w:val="24"/>
          <w:szCs w:val="24"/>
        </w:rPr>
      </w:pPr>
      <w:bookmarkStart w:id="30" w:name="_Toc450909690"/>
      <w:r w:rsidRPr="00C6252A">
        <w:rPr>
          <w:color w:val="244061" w:themeColor="accent1" w:themeShade="80"/>
          <w:sz w:val="24"/>
          <w:szCs w:val="24"/>
        </w:rPr>
        <w:t>19.2.6.</w:t>
      </w:r>
      <w:r w:rsidR="00FD03B5">
        <w:rPr>
          <w:color w:val="244061" w:themeColor="accent1" w:themeShade="80"/>
          <w:sz w:val="24"/>
          <w:szCs w:val="24"/>
        </w:rPr>
        <w:t>2</w:t>
      </w:r>
      <w:r w:rsidRPr="00C6252A">
        <w:rPr>
          <w:color w:val="244061" w:themeColor="accent1" w:themeShade="80"/>
          <w:sz w:val="24"/>
          <w:szCs w:val="24"/>
        </w:rPr>
        <w:t xml:space="preserve">: </w:t>
      </w:r>
      <w:r w:rsidR="00DC1F41" w:rsidRPr="00C6252A">
        <w:rPr>
          <w:color w:val="244061" w:themeColor="accent1" w:themeShade="80"/>
          <w:sz w:val="24"/>
          <w:szCs w:val="24"/>
        </w:rPr>
        <w:t>Επενδύσεις σε δασοκομικές τεχνολογίες και στην επεξεργασία, κινητοποίηση και εμπορία δασικών προϊόντων</w:t>
      </w:r>
      <w:bookmarkEnd w:id="30"/>
      <w:r w:rsidR="00DC1F41" w:rsidRPr="00C6252A">
        <w:rPr>
          <w:color w:val="244061" w:themeColor="accent1" w:themeShade="80"/>
          <w:sz w:val="24"/>
          <w:szCs w:val="24"/>
        </w:rPr>
        <w:t xml:space="preserve"> </w:t>
      </w:r>
    </w:p>
    <w:p w:rsidR="00C6252A" w:rsidRDefault="00C6252A" w:rsidP="00BE1D4A">
      <w:pPr>
        <w:spacing w:after="120" w:line="240" w:lineRule="auto"/>
        <w:jc w:val="both"/>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26 καν. (ΕΕ) 1305/2013</w:t>
      </w:r>
    </w:p>
    <w:p w:rsidR="001E520B" w:rsidRPr="001E520B" w:rsidRDefault="001E520B" w:rsidP="001E520B">
      <w:pPr>
        <w:spacing w:after="120" w:line="240" w:lineRule="auto"/>
        <w:jc w:val="both"/>
        <w:rPr>
          <w:rFonts w:ascii="Cambria" w:hAnsi="Cambria"/>
          <w:color w:val="244061" w:themeColor="accent1" w:themeShade="80"/>
          <w:sz w:val="24"/>
          <w:szCs w:val="24"/>
        </w:rPr>
      </w:pPr>
      <w:r w:rsidRPr="001E520B">
        <w:rPr>
          <w:rFonts w:ascii="Cambria" w:hAnsi="Cambria"/>
          <w:color w:val="244061" w:themeColor="accent1" w:themeShade="80"/>
          <w:sz w:val="24"/>
          <w:szCs w:val="24"/>
        </w:rPr>
        <w:t>Η στήριξη παρέχεται βάσει του άρθρου 37 καν. (ΕΕ) 702/2014 με ένταση ενίσχυσης που ανέρχεται έως:</w:t>
      </w:r>
    </w:p>
    <w:p w:rsidR="0064586C" w:rsidRPr="00BE31FE" w:rsidRDefault="0064586C" w:rsidP="00BE1D4A">
      <w:pPr>
        <w:pStyle w:val="aa"/>
        <w:numPr>
          <w:ilvl w:val="0"/>
          <w:numId w:val="23"/>
        </w:numPr>
        <w:spacing w:after="120" w:line="240" w:lineRule="auto"/>
        <w:ind w:left="284" w:hanging="284"/>
        <w:jc w:val="both"/>
        <w:rPr>
          <w:rFonts w:ascii="Cambria" w:hAnsi="Cambria"/>
          <w:color w:val="244061" w:themeColor="accent1" w:themeShade="80"/>
          <w:sz w:val="24"/>
          <w:szCs w:val="24"/>
        </w:rPr>
      </w:pPr>
      <w:r w:rsidRPr="00BE31FE">
        <w:rPr>
          <w:rFonts w:ascii="Cambria" w:hAnsi="Cambria"/>
          <w:color w:val="244061" w:themeColor="accent1" w:themeShade="80"/>
          <w:sz w:val="24"/>
          <w:szCs w:val="24"/>
        </w:rPr>
        <w:t>75% των επιλέξιμων δαπανών στα μικρά νησιά του Αιγαίου Πελάγους</w:t>
      </w:r>
    </w:p>
    <w:p w:rsidR="0064586C" w:rsidRDefault="0064586C" w:rsidP="00BE1D4A">
      <w:pPr>
        <w:pStyle w:val="aa"/>
        <w:numPr>
          <w:ilvl w:val="0"/>
          <w:numId w:val="23"/>
        </w:numPr>
        <w:spacing w:after="120" w:line="240" w:lineRule="auto"/>
        <w:ind w:left="284" w:hanging="284"/>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50% των επιλέξιμων δαπανών στις περιφέρειες </w:t>
      </w:r>
      <w:r w:rsidRPr="0064586C">
        <w:rPr>
          <w:rFonts w:ascii="Cambria" w:hAnsi="Cambria"/>
          <w:color w:val="244061" w:themeColor="accent1" w:themeShade="80"/>
          <w:sz w:val="24"/>
          <w:szCs w:val="24"/>
        </w:rPr>
        <w:t>Δυτικής Ελλάδας, Θεσσαλίας, Ηπείρου, Κεντρικής Μακεδονίας, Ανατολικής Μακεδονίας &amp; Θράκης, Ιονίων Νήσων, Πελοποννήσου, Κρήτης</w:t>
      </w:r>
    </w:p>
    <w:p w:rsidR="0064586C" w:rsidRPr="0064586C" w:rsidRDefault="0064586C" w:rsidP="00BE1D4A">
      <w:pPr>
        <w:pStyle w:val="aa"/>
        <w:numPr>
          <w:ilvl w:val="0"/>
          <w:numId w:val="23"/>
        </w:numPr>
        <w:spacing w:after="120" w:line="240" w:lineRule="auto"/>
        <w:ind w:left="284" w:hanging="284"/>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40% των επιλέξιμων δαπανών στις περιφέρεις </w:t>
      </w:r>
      <w:r w:rsidRPr="0064586C">
        <w:rPr>
          <w:rFonts w:ascii="Cambria" w:hAnsi="Cambria"/>
          <w:color w:val="244061" w:themeColor="accent1" w:themeShade="80"/>
          <w:sz w:val="24"/>
          <w:szCs w:val="24"/>
        </w:rPr>
        <w:t>Στερεάς Ελλάδας, Δυτικής Μακεδονίας και Αττικής</w:t>
      </w:r>
    </w:p>
    <w:p w:rsidR="0064586C" w:rsidRDefault="00BE31FE" w:rsidP="00BE1D4A">
      <w:pPr>
        <w:pStyle w:val="2"/>
        <w:spacing w:before="0" w:after="120" w:line="240" w:lineRule="auto"/>
        <w:jc w:val="both"/>
      </w:pPr>
      <w:bookmarkStart w:id="31" w:name="_Toc450909691"/>
      <w:r w:rsidRPr="00BE31FE">
        <w:t>19.2.</w:t>
      </w:r>
      <w:r w:rsidR="00DC1F41">
        <w:t>7</w:t>
      </w:r>
      <w:r w:rsidRPr="00BE31FE">
        <w:t>: ΣΥΝΕΡΓΑΣΙΑ ΜΕΤΑΞΥ ΔΙΑΦΟΡΕΤΙΚΩΝ ΠΑΡΑΓΟΝΤΩΝ ΤΟΥ ΓΕΩΡΓΙΚΟΥ ΚΑΙ ΤΟΥ ΔΑΣΙΚΟΥ ΤΟΜΕΑ, ΤΗΣ ΑΛΥΣΙΔΑΣ ΤΡΟΦΙΜΩΝ &amp; ΑΛΛΩΝ ΠΟΥ ΣΥΜΒΑΛΛΟΥΝ ΣΤΗΝ ΕΠΙΤΕΥΞΗ ΤΩΝ ΣΤΟΧΩΝ ΚΑΙ ΤΩΝ ΠΡΟΤΕΡΑΙΟΤΗΤΩΝ ΤΗΣ ΠΟΛΙΤΙΚΗΣ ΑΓΡΟΤΙΚΗΣ ΑΝΑΠΤΥΞΗΣ ΚΑΘΩΣ ΚΑΙ ΔΗΜΙΟΥΡΓΙΑ ΣΥΜΠΛΕΓΜΑΤΩΝ ΦΟΡΕΩΝ (CLUSTERS)</w:t>
      </w:r>
      <w:bookmarkEnd w:id="31"/>
    </w:p>
    <w:p w:rsidR="006B5D17" w:rsidRDefault="00BE31FE" w:rsidP="006B5D17">
      <w:pPr>
        <w:spacing w:after="120" w:line="240" w:lineRule="auto"/>
        <w:jc w:val="both"/>
        <w:rPr>
          <w:rFonts w:ascii="Cambria" w:hAnsi="Cambria"/>
          <w:color w:val="244061" w:themeColor="accent1" w:themeShade="80"/>
          <w:sz w:val="24"/>
          <w:szCs w:val="24"/>
        </w:rPr>
      </w:pPr>
      <w:r w:rsidRPr="0035040E">
        <w:rPr>
          <w:rFonts w:ascii="Cambria" w:hAnsi="Cambria"/>
          <w:color w:val="244061" w:themeColor="accent1" w:themeShade="80"/>
          <w:sz w:val="24"/>
          <w:szCs w:val="24"/>
        </w:rPr>
        <w:t>Νομική βάση</w:t>
      </w:r>
      <w:r>
        <w:rPr>
          <w:rFonts w:ascii="Cambria" w:hAnsi="Cambria"/>
          <w:color w:val="244061" w:themeColor="accent1" w:themeShade="80"/>
          <w:sz w:val="24"/>
          <w:szCs w:val="24"/>
        </w:rPr>
        <w:t>: Άρθρο 35 καν. (ΕΕ) 1305/2013</w:t>
      </w:r>
      <w:r w:rsidR="001F0C8A" w:rsidRPr="001F0C8A">
        <w:rPr>
          <w:rFonts w:ascii="Cambria" w:hAnsi="Cambria"/>
          <w:color w:val="244061" w:themeColor="accent1" w:themeShade="80"/>
          <w:sz w:val="24"/>
          <w:szCs w:val="24"/>
        </w:rPr>
        <w:t xml:space="preserve"> </w:t>
      </w:r>
    </w:p>
    <w:p w:rsidR="006B5D17" w:rsidRDefault="004D4702" w:rsidP="006B5D17">
      <w:pPr>
        <w:spacing w:after="120" w:line="240" w:lineRule="auto"/>
        <w:jc w:val="both"/>
        <w:rPr>
          <w:b/>
          <w:color w:val="244061" w:themeColor="accent1" w:themeShade="80"/>
          <w:sz w:val="24"/>
          <w:szCs w:val="24"/>
        </w:rPr>
      </w:pPr>
      <w:r w:rsidRPr="00FF43F1">
        <w:rPr>
          <w:b/>
          <w:color w:val="244061" w:themeColor="accent1" w:themeShade="80"/>
          <w:sz w:val="24"/>
          <w:szCs w:val="24"/>
        </w:rPr>
        <w:t>Οι δράσεις που μπορούν να ενισχυθούν αφορούν σε</w:t>
      </w:r>
      <w:r w:rsidR="00AC55AD">
        <w:rPr>
          <w:b/>
          <w:color w:val="244061" w:themeColor="accent1" w:themeShade="80"/>
          <w:sz w:val="24"/>
          <w:szCs w:val="24"/>
        </w:rPr>
        <w:t xml:space="preserve"> δράσεις που </w:t>
      </w:r>
      <w:r w:rsidR="00B04E30">
        <w:rPr>
          <w:b/>
          <w:color w:val="244061" w:themeColor="accent1" w:themeShade="80"/>
          <w:sz w:val="24"/>
          <w:szCs w:val="24"/>
        </w:rPr>
        <w:t>«</w:t>
      </w:r>
      <w:r w:rsidR="00AC55AD">
        <w:rPr>
          <w:b/>
          <w:color w:val="244061" w:themeColor="accent1" w:themeShade="80"/>
          <w:sz w:val="24"/>
          <w:szCs w:val="24"/>
        </w:rPr>
        <w:t>ωφελούμενος</w:t>
      </w:r>
      <w:r w:rsidR="00B04E30">
        <w:rPr>
          <w:b/>
          <w:color w:val="244061" w:themeColor="accent1" w:themeShade="80"/>
          <w:sz w:val="24"/>
          <w:szCs w:val="24"/>
        </w:rPr>
        <w:t>»</w:t>
      </w:r>
      <w:r w:rsidR="00AC55AD">
        <w:rPr>
          <w:b/>
          <w:color w:val="244061" w:themeColor="accent1" w:themeShade="80"/>
          <w:sz w:val="24"/>
          <w:szCs w:val="24"/>
        </w:rPr>
        <w:t xml:space="preserve"> δεν είναι ο γεωργικός τομέας</w:t>
      </w:r>
      <w:r w:rsidR="00AC55AD">
        <w:rPr>
          <w:rStyle w:val="a9"/>
          <w:b/>
          <w:color w:val="244061" w:themeColor="accent1" w:themeShade="80"/>
          <w:sz w:val="24"/>
          <w:szCs w:val="24"/>
        </w:rPr>
        <w:footnoteReference w:id="16"/>
      </w:r>
      <w:r w:rsidR="000053EA">
        <w:rPr>
          <w:b/>
          <w:color w:val="244061" w:themeColor="accent1" w:themeShade="80"/>
          <w:sz w:val="24"/>
          <w:szCs w:val="24"/>
        </w:rPr>
        <w:t xml:space="preserve">, </w:t>
      </w:r>
      <w:r w:rsidR="000053EA" w:rsidRPr="000053EA">
        <w:rPr>
          <w:color w:val="244061" w:themeColor="accent1" w:themeShade="80"/>
          <w:sz w:val="24"/>
          <w:szCs w:val="24"/>
        </w:rPr>
        <w:t>ως ακολούθως</w:t>
      </w:r>
      <w:r w:rsidRPr="000053EA">
        <w:rPr>
          <w:color w:val="244061" w:themeColor="accent1" w:themeShade="80"/>
          <w:sz w:val="24"/>
          <w:szCs w:val="24"/>
        </w:rPr>
        <w:t>:</w:t>
      </w:r>
    </w:p>
    <w:p w:rsid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t>19.2.7.1: Πιλοτικά  έργα</w:t>
      </w:r>
      <w:r w:rsidR="000053EA">
        <w:rPr>
          <w:color w:val="244061" w:themeColor="accent1" w:themeShade="80"/>
          <w:sz w:val="24"/>
          <w:szCs w:val="24"/>
        </w:rPr>
        <w:t xml:space="preserve"> (εκτός γεωργικού τομέα)</w:t>
      </w:r>
    </w:p>
    <w:p w:rsid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t xml:space="preserve">19.2.7.2: Ανάπτυξη νέων προϊόντων, πρακτικών, διεργασιών και τεχνολογιών στον τομέα </w:t>
      </w:r>
      <w:r w:rsidR="000053EA">
        <w:rPr>
          <w:color w:val="244061" w:themeColor="accent1" w:themeShade="80"/>
          <w:sz w:val="24"/>
          <w:szCs w:val="24"/>
        </w:rPr>
        <w:t xml:space="preserve">των </w:t>
      </w:r>
      <w:r w:rsidRPr="006B5D17">
        <w:rPr>
          <w:color w:val="244061" w:themeColor="accent1" w:themeShade="80"/>
          <w:sz w:val="24"/>
          <w:szCs w:val="24"/>
        </w:rPr>
        <w:t>τροφίμων</w:t>
      </w:r>
      <w:r w:rsidR="000053EA">
        <w:rPr>
          <w:color w:val="244061" w:themeColor="accent1" w:themeShade="80"/>
          <w:sz w:val="24"/>
          <w:szCs w:val="24"/>
        </w:rPr>
        <w:t xml:space="preserve"> και της δασοπονίας</w:t>
      </w:r>
    </w:p>
    <w:p w:rsid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lastRenderedPageBreak/>
        <w:t>19.2.7.3: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w:t>
      </w:r>
      <w:r w:rsidR="000053EA">
        <w:rPr>
          <w:color w:val="244061" w:themeColor="accent1" w:themeShade="80"/>
          <w:sz w:val="24"/>
          <w:szCs w:val="24"/>
        </w:rPr>
        <w:t>,</w:t>
      </w:r>
      <w:r w:rsidRPr="006B5D17">
        <w:rPr>
          <w:color w:val="244061" w:themeColor="accent1" w:themeShade="80"/>
          <w:sz w:val="24"/>
          <w:szCs w:val="24"/>
        </w:rPr>
        <w:t xml:space="preserve"> που συνδέονται με τον αγροτουρισμό</w:t>
      </w:r>
    </w:p>
    <w:p w:rsid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t>19.2.7.</w:t>
      </w:r>
      <w:r w:rsidR="000053EA">
        <w:rPr>
          <w:color w:val="244061" w:themeColor="accent1" w:themeShade="80"/>
          <w:sz w:val="24"/>
          <w:szCs w:val="24"/>
        </w:rPr>
        <w:t>4</w:t>
      </w:r>
      <w:r w:rsidRPr="006B5D17">
        <w:rPr>
          <w:color w:val="244061" w:themeColor="accent1" w:themeShade="80"/>
          <w:sz w:val="24"/>
          <w:szCs w:val="24"/>
        </w:rPr>
        <w:t>: Κοινή δράση που αναλαμβάνεται με σκοπό το μετριασμό της αλλαγής κλίματος ή την προσαρμογή σε αυτή</w:t>
      </w:r>
    </w:p>
    <w:p w:rsid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t>19.2.7.</w:t>
      </w:r>
      <w:r w:rsidR="000053EA">
        <w:rPr>
          <w:color w:val="244061" w:themeColor="accent1" w:themeShade="80"/>
          <w:sz w:val="24"/>
          <w:szCs w:val="24"/>
        </w:rPr>
        <w:t>5</w:t>
      </w:r>
      <w:r w:rsidRPr="006B5D17">
        <w:rPr>
          <w:color w:val="244061" w:themeColor="accent1" w:themeShade="80"/>
          <w:sz w:val="24"/>
          <w:szCs w:val="24"/>
        </w:rPr>
        <w:t>: Διαφοροποίηση των γεωργικών δραστηριοτήτων σε δραστηριότητες που αφορούν την εκπαίδευση σχετικά με το περιβάλλον και τη διατροφή</w:t>
      </w:r>
    </w:p>
    <w:p w:rsidR="004D4702" w:rsidRPr="006B5D17" w:rsidRDefault="004D4702" w:rsidP="006B5D17">
      <w:pPr>
        <w:spacing w:after="120" w:line="240" w:lineRule="auto"/>
        <w:jc w:val="both"/>
        <w:rPr>
          <w:color w:val="244061" w:themeColor="accent1" w:themeShade="80"/>
          <w:sz w:val="24"/>
          <w:szCs w:val="24"/>
        </w:rPr>
      </w:pPr>
      <w:r w:rsidRPr="006B5D17">
        <w:rPr>
          <w:color w:val="244061" w:themeColor="accent1" w:themeShade="80"/>
          <w:sz w:val="24"/>
          <w:szCs w:val="24"/>
        </w:rPr>
        <w:t>19.2.7.</w:t>
      </w:r>
      <w:r w:rsidR="000053EA">
        <w:rPr>
          <w:color w:val="244061" w:themeColor="accent1" w:themeShade="80"/>
          <w:sz w:val="24"/>
          <w:szCs w:val="24"/>
        </w:rPr>
        <w:t>6</w:t>
      </w:r>
      <w:r w:rsidRPr="006B5D17">
        <w:rPr>
          <w:color w:val="244061" w:themeColor="accent1" w:themeShade="80"/>
          <w:sz w:val="24"/>
          <w:szCs w:val="24"/>
        </w:rPr>
        <w:t>: Διαφοροποίηση των γεωργικών δραστηριοτήτων σε δραστηριότητες που αφορούν την υγειονομική περίθαλψη, την κοινωνική ένταξη και τη γεωργία που στηρίζεται από τις τοπικές κοινότητες</w:t>
      </w:r>
    </w:p>
    <w:p w:rsidR="001F0C8A" w:rsidRDefault="001F0C8A" w:rsidP="001F0C8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περίπτωση </w:t>
      </w:r>
      <w:r w:rsidR="004D4702">
        <w:rPr>
          <w:rFonts w:ascii="Cambria" w:hAnsi="Cambria"/>
          <w:color w:val="244061" w:themeColor="accent1" w:themeShade="80"/>
          <w:sz w:val="24"/>
          <w:szCs w:val="24"/>
        </w:rPr>
        <w:t xml:space="preserve">που η δράση </w:t>
      </w:r>
      <w:r>
        <w:rPr>
          <w:rFonts w:ascii="Cambria" w:hAnsi="Cambria"/>
          <w:color w:val="244061" w:themeColor="accent1" w:themeShade="80"/>
          <w:sz w:val="24"/>
          <w:szCs w:val="24"/>
        </w:rPr>
        <w:t xml:space="preserve">αφορά </w:t>
      </w:r>
      <w:r w:rsidR="004D4702">
        <w:rPr>
          <w:rFonts w:ascii="Cambria" w:hAnsi="Cambria"/>
          <w:color w:val="244061" w:themeColor="accent1" w:themeShade="80"/>
          <w:sz w:val="24"/>
          <w:szCs w:val="24"/>
        </w:rPr>
        <w:t xml:space="preserve">σε </w:t>
      </w:r>
      <w:r w:rsidRPr="004D4702">
        <w:rPr>
          <w:rFonts w:ascii="Cambria" w:hAnsi="Cambria"/>
          <w:b/>
          <w:color w:val="244061" w:themeColor="accent1" w:themeShade="80"/>
          <w:sz w:val="24"/>
          <w:szCs w:val="24"/>
        </w:rPr>
        <w:t>συνεργατικούς σχηματισμούς καινοτομίας</w:t>
      </w:r>
      <w:r>
        <w:rPr>
          <w:rFonts w:ascii="Cambria" w:hAnsi="Cambria"/>
          <w:color w:val="244061" w:themeColor="accent1" w:themeShade="80"/>
          <w:sz w:val="24"/>
          <w:szCs w:val="24"/>
        </w:rPr>
        <w:t xml:space="preserve"> ισχύουν τα ακόλουθα βάσει του άρθρου 27 καν. (ΕΕ) 651/2014:</w:t>
      </w:r>
    </w:p>
    <w:p w:rsidR="001F0C8A" w:rsidRDefault="001F0C8A" w:rsidP="001F0C8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Η ένταση ενίσχυσης για τη </w:t>
      </w:r>
      <w:r w:rsidRPr="000053EA">
        <w:rPr>
          <w:rFonts w:ascii="Cambria" w:hAnsi="Cambria"/>
          <w:color w:val="244061" w:themeColor="accent1" w:themeShade="80"/>
          <w:sz w:val="24"/>
          <w:szCs w:val="24"/>
          <w:u w:val="single"/>
        </w:rPr>
        <w:t>λειτουργία του συνεργατικού σχηματισμού</w:t>
      </w:r>
      <w:r>
        <w:rPr>
          <w:rFonts w:ascii="Cambria" w:hAnsi="Cambria"/>
          <w:color w:val="244061" w:themeColor="accent1" w:themeShade="80"/>
          <w:sz w:val="24"/>
          <w:szCs w:val="24"/>
        </w:rPr>
        <w:t xml:space="preserve"> δεν υπερβαίνει το 50% των επιλέξιμων δαπανών. </w:t>
      </w:r>
    </w:p>
    <w:p w:rsidR="001F0C8A" w:rsidRDefault="001F0C8A" w:rsidP="001F0C8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Η ένταση ενίσχυσης των </w:t>
      </w:r>
      <w:r w:rsidRPr="000053EA">
        <w:rPr>
          <w:rFonts w:ascii="Cambria" w:hAnsi="Cambria"/>
          <w:color w:val="244061" w:themeColor="accent1" w:themeShade="80"/>
          <w:sz w:val="24"/>
          <w:szCs w:val="24"/>
          <w:u w:val="single"/>
        </w:rPr>
        <w:t>επενδυτικών ενισχύσεων</w:t>
      </w:r>
      <w:r>
        <w:rPr>
          <w:rFonts w:ascii="Cambria" w:hAnsi="Cambria"/>
          <w:color w:val="244061" w:themeColor="accent1" w:themeShade="80"/>
          <w:sz w:val="24"/>
          <w:szCs w:val="24"/>
        </w:rPr>
        <w:t xml:space="preserve"> μπορεί να φθάσει έως:</w:t>
      </w:r>
    </w:p>
    <w:p w:rsidR="00FF43F1" w:rsidRDefault="00FF43F1" w:rsidP="001F0C8A">
      <w:pPr>
        <w:pStyle w:val="aa"/>
        <w:numPr>
          <w:ilvl w:val="0"/>
          <w:numId w:val="23"/>
        </w:numPr>
        <w:spacing w:after="120" w:line="240" w:lineRule="auto"/>
        <w:ind w:left="284" w:hanging="284"/>
        <w:jc w:val="both"/>
        <w:rPr>
          <w:rFonts w:ascii="Cambria" w:hAnsi="Cambria"/>
          <w:color w:val="244061" w:themeColor="accent1" w:themeShade="80"/>
          <w:sz w:val="24"/>
          <w:szCs w:val="24"/>
        </w:rPr>
      </w:pPr>
      <w:r w:rsidRPr="00FF43F1">
        <w:rPr>
          <w:rFonts w:ascii="Cambria" w:hAnsi="Cambria"/>
          <w:color w:val="244061" w:themeColor="accent1" w:themeShade="80"/>
          <w:sz w:val="24"/>
          <w:szCs w:val="24"/>
        </w:rPr>
        <w:t xml:space="preserve">65% των επιλέξιμων δαπανών στις περιφέρεις Ανατολικής Μακεδονίας και Θράκης, Κεντρικής Μακεδονίας, Θεσσαλίας, Ηπείρου, Δυτικής Ελλάδας, Πελοποννήσου και Βορείου Αιγαίου. </w:t>
      </w:r>
    </w:p>
    <w:p w:rsidR="001F0C8A" w:rsidRPr="00FF43F1" w:rsidRDefault="001F0C8A" w:rsidP="001F0C8A">
      <w:pPr>
        <w:pStyle w:val="aa"/>
        <w:numPr>
          <w:ilvl w:val="0"/>
          <w:numId w:val="23"/>
        </w:numPr>
        <w:spacing w:after="120" w:line="240" w:lineRule="auto"/>
        <w:ind w:left="284" w:hanging="284"/>
        <w:jc w:val="both"/>
        <w:rPr>
          <w:rFonts w:ascii="Cambria" w:hAnsi="Cambria"/>
          <w:color w:val="244061" w:themeColor="accent1" w:themeShade="80"/>
          <w:sz w:val="24"/>
          <w:szCs w:val="24"/>
        </w:rPr>
      </w:pPr>
      <w:r w:rsidRPr="00FF43F1">
        <w:rPr>
          <w:rFonts w:ascii="Cambria" w:hAnsi="Cambria"/>
          <w:color w:val="244061" w:themeColor="accent1" w:themeShade="80"/>
          <w:sz w:val="24"/>
          <w:szCs w:val="24"/>
        </w:rPr>
        <w:t>55% των επιλέξιμων δαπανών</w:t>
      </w:r>
      <w:r w:rsidR="00FF43F1" w:rsidRPr="00FF43F1">
        <w:rPr>
          <w:rFonts w:ascii="Cambria" w:hAnsi="Cambria"/>
          <w:color w:val="244061" w:themeColor="accent1" w:themeShade="80"/>
          <w:sz w:val="24"/>
          <w:szCs w:val="24"/>
        </w:rPr>
        <w:t xml:space="preserve"> στις περιφέρειες Δυτικής Μακεδονίας, Ιονίων Νήσων, Κρήτης, Αττικής, Στερεάς Ελλάδας και Νοτίου Αιγαίου. </w:t>
      </w:r>
    </w:p>
    <w:p w:rsidR="001F0C8A" w:rsidRDefault="00FF43F1" w:rsidP="001F0C8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Σε διαφορετική περίπτωση ε</w:t>
      </w:r>
      <w:r w:rsidR="001F0C8A" w:rsidRPr="001F0C8A">
        <w:rPr>
          <w:rFonts w:ascii="Cambria" w:hAnsi="Cambria"/>
          <w:color w:val="244061" w:themeColor="accent1" w:themeShade="80"/>
          <w:sz w:val="24"/>
          <w:szCs w:val="24"/>
        </w:rPr>
        <w:t>ξετάζεται κατά περίπτωση</w:t>
      </w:r>
      <w:r w:rsidR="004D4702">
        <w:rPr>
          <w:rFonts w:ascii="Cambria" w:hAnsi="Cambria"/>
          <w:color w:val="244061" w:themeColor="accent1" w:themeShade="80"/>
          <w:sz w:val="24"/>
          <w:szCs w:val="24"/>
        </w:rPr>
        <w:t>,</w:t>
      </w:r>
      <w:r w:rsidR="001F0C8A">
        <w:rPr>
          <w:rFonts w:ascii="Cambria" w:hAnsi="Cambria"/>
          <w:color w:val="244061" w:themeColor="accent1" w:themeShade="80"/>
          <w:sz w:val="24"/>
          <w:szCs w:val="24"/>
        </w:rPr>
        <w:t xml:space="preserve"> σε συνεργασία με ΕΥΔ ΠΑΑ και ΕΥΚΕ</w:t>
      </w:r>
      <w:r w:rsidR="004D4702">
        <w:rPr>
          <w:rFonts w:ascii="Cambria" w:hAnsi="Cambria"/>
          <w:color w:val="244061" w:themeColor="accent1" w:themeShade="80"/>
          <w:sz w:val="24"/>
          <w:szCs w:val="24"/>
        </w:rPr>
        <w:t xml:space="preserve"> πως θα δοθεί νόμιμα </w:t>
      </w:r>
      <w:r w:rsidR="00B75CC7">
        <w:rPr>
          <w:rFonts w:ascii="Cambria" w:hAnsi="Cambria"/>
          <w:color w:val="244061" w:themeColor="accent1" w:themeShade="80"/>
          <w:sz w:val="24"/>
          <w:szCs w:val="24"/>
        </w:rPr>
        <w:t xml:space="preserve">η σχετική </w:t>
      </w:r>
      <w:r w:rsidR="004D4702">
        <w:rPr>
          <w:rFonts w:ascii="Cambria" w:hAnsi="Cambria"/>
          <w:color w:val="244061" w:themeColor="accent1" w:themeShade="80"/>
          <w:sz w:val="24"/>
          <w:szCs w:val="24"/>
        </w:rPr>
        <w:t>ενίσχυση</w:t>
      </w:r>
      <w:r w:rsidR="001F0C8A">
        <w:rPr>
          <w:rFonts w:ascii="Cambria" w:hAnsi="Cambria"/>
          <w:color w:val="244061" w:themeColor="accent1" w:themeShade="80"/>
          <w:sz w:val="24"/>
          <w:szCs w:val="24"/>
        </w:rPr>
        <w:t xml:space="preserve">. </w:t>
      </w:r>
    </w:p>
    <w:p w:rsidR="00C92345" w:rsidRDefault="00C92345" w:rsidP="001F0C8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Για παράδειγμα: </w:t>
      </w:r>
    </w:p>
    <w:p w:rsidR="009C5F86" w:rsidRDefault="00C92345" w:rsidP="009C5F86">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περίπτωση </w:t>
      </w:r>
      <w:r w:rsidRPr="00B75CC7">
        <w:rPr>
          <w:rFonts w:ascii="Cambria" w:hAnsi="Cambria"/>
          <w:b/>
          <w:color w:val="244061" w:themeColor="accent1" w:themeShade="80"/>
          <w:sz w:val="24"/>
          <w:szCs w:val="24"/>
        </w:rPr>
        <w:t>συνεργασίας στον τομέα της δασοκομίας</w:t>
      </w:r>
      <w:r w:rsidR="00B27ACA">
        <w:rPr>
          <w:rFonts w:ascii="Cambria" w:hAnsi="Cambria"/>
          <w:color w:val="244061" w:themeColor="accent1" w:themeShade="80"/>
          <w:sz w:val="24"/>
          <w:szCs w:val="24"/>
        </w:rPr>
        <w:t xml:space="preserve">, </w:t>
      </w:r>
      <w:r>
        <w:rPr>
          <w:rFonts w:ascii="Cambria" w:hAnsi="Cambria"/>
          <w:color w:val="244061" w:themeColor="accent1" w:themeShade="80"/>
          <w:sz w:val="24"/>
          <w:szCs w:val="24"/>
        </w:rPr>
        <w:t xml:space="preserve">οι ενισχύσεις μπορούν να δοθούν βάσει του </w:t>
      </w:r>
      <w:r w:rsidR="00DA64EC">
        <w:rPr>
          <w:rFonts w:ascii="Cambria" w:hAnsi="Cambria"/>
          <w:color w:val="244061" w:themeColor="accent1" w:themeShade="80"/>
          <w:sz w:val="24"/>
          <w:szCs w:val="24"/>
        </w:rPr>
        <w:t>κεφαλαίου</w:t>
      </w:r>
      <w:r>
        <w:rPr>
          <w:rFonts w:ascii="Cambria" w:hAnsi="Cambria"/>
          <w:color w:val="244061" w:themeColor="accent1" w:themeShade="80"/>
          <w:sz w:val="24"/>
          <w:szCs w:val="24"/>
        </w:rPr>
        <w:t xml:space="preserve"> 2.6 </w:t>
      </w:r>
      <w:r w:rsidRPr="001809BE">
        <w:rPr>
          <w:rFonts w:ascii="Cambria" w:hAnsi="Cambria"/>
          <w:color w:val="244061" w:themeColor="accent1" w:themeShade="80"/>
          <w:sz w:val="24"/>
          <w:szCs w:val="24"/>
        </w:rPr>
        <w:t>«Κατευθυντήριες γραμμές της Ευρωπαϊκής Ένωσης σχετικά με τις κρατικές ενισχύσεις στο γεωργικό και το δασοκομικό τομέα και στις αγροτικές περιοχές για την περίοδο 2014-2020 (2014/C 204/01)»</w:t>
      </w:r>
      <w:r>
        <w:rPr>
          <w:rFonts w:ascii="Cambria" w:hAnsi="Cambria"/>
          <w:color w:val="244061" w:themeColor="accent1" w:themeShade="80"/>
          <w:sz w:val="24"/>
          <w:szCs w:val="24"/>
        </w:rPr>
        <w:t>, σημεία 572-577</w:t>
      </w:r>
      <w:r w:rsidR="00DA64EC">
        <w:rPr>
          <w:rFonts w:ascii="Cambria" w:hAnsi="Cambria"/>
          <w:color w:val="244061" w:themeColor="accent1" w:themeShade="80"/>
          <w:sz w:val="24"/>
          <w:szCs w:val="24"/>
        </w:rPr>
        <w:t>.</w:t>
      </w:r>
      <w:r>
        <w:rPr>
          <w:rFonts w:ascii="Cambria" w:hAnsi="Cambria"/>
          <w:color w:val="244061" w:themeColor="accent1" w:themeShade="80"/>
          <w:sz w:val="24"/>
          <w:szCs w:val="24"/>
        </w:rPr>
        <w:t xml:space="preserve">  </w:t>
      </w:r>
      <w:r w:rsidR="009C5F86">
        <w:rPr>
          <w:rFonts w:ascii="Cambria" w:hAnsi="Cambria"/>
          <w:color w:val="244061" w:themeColor="accent1" w:themeShade="80"/>
          <w:sz w:val="24"/>
          <w:szCs w:val="24"/>
        </w:rPr>
        <w:t xml:space="preserve">Η ένταση ενίσχυσης για τη </w:t>
      </w:r>
      <w:r w:rsidR="009C5F86" w:rsidRPr="000053EA">
        <w:rPr>
          <w:rFonts w:ascii="Cambria" w:hAnsi="Cambria"/>
          <w:color w:val="244061" w:themeColor="accent1" w:themeShade="80"/>
          <w:sz w:val="24"/>
          <w:szCs w:val="24"/>
          <w:u w:val="single"/>
        </w:rPr>
        <w:t>λειτουργία του συνεργατικού σχηματισμού</w:t>
      </w:r>
      <w:r w:rsidR="009C5F86">
        <w:rPr>
          <w:rFonts w:ascii="Cambria" w:hAnsi="Cambria"/>
          <w:color w:val="244061" w:themeColor="accent1" w:themeShade="80"/>
          <w:sz w:val="24"/>
          <w:szCs w:val="24"/>
        </w:rPr>
        <w:t xml:space="preserve"> δεν υπερβαίνει το 100% των επιλέξιμων δαπανών. Η ένταση ενίσχυσης των </w:t>
      </w:r>
      <w:r w:rsidR="009C5F86" w:rsidRPr="000053EA">
        <w:rPr>
          <w:rFonts w:ascii="Cambria" w:hAnsi="Cambria"/>
          <w:color w:val="244061" w:themeColor="accent1" w:themeShade="80"/>
          <w:sz w:val="24"/>
          <w:szCs w:val="24"/>
          <w:u w:val="single"/>
        </w:rPr>
        <w:t xml:space="preserve">επενδυτικών </w:t>
      </w:r>
      <w:r w:rsidR="000053EA" w:rsidRPr="000053EA">
        <w:rPr>
          <w:rFonts w:ascii="Cambria" w:hAnsi="Cambria"/>
          <w:color w:val="244061" w:themeColor="accent1" w:themeShade="80"/>
          <w:sz w:val="24"/>
          <w:szCs w:val="24"/>
          <w:u w:val="single"/>
        </w:rPr>
        <w:t>ενισχύσεων</w:t>
      </w:r>
      <w:r w:rsidR="000053EA">
        <w:rPr>
          <w:rFonts w:ascii="Cambria" w:hAnsi="Cambria"/>
          <w:color w:val="244061" w:themeColor="accent1" w:themeShade="80"/>
          <w:sz w:val="24"/>
          <w:szCs w:val="24"/>
        </w:rPr>
        <w:t xml:space="preserve"> </w:t>
      </w:r>
      <w:r w:rsidR="009C5F86">
        <w:rPr>
          <w:rFonts w:ascii="Cambria" w:hAnsi="Cambria"/>
          <w:color w:val="244061" w:themeColor="accent1" w:themeShade="80"/>
          <w:sz w:val="24"/>
          <w:szCs w:val="24"/>
        </w:rPr>
        <w:t>(άμεσων δαπανών που συνδέονται με την υλοποίηση του επιχειρηματικού σχεδίου ή άλλων δράσεων σχετικών με την καινοτομία) μπορεί να φθάσει έως το ανώτατο ποσοστό ανάλογα με τις επενδύσεις που αφορούν:</w:t>
      </w:r>
    </w:p>
    <w:p w:rsidR="00B27ACA" w:rsidRDefault="00B27ACA" w:rsidP="00B27ACA">
      <w:pPr>
        <w:spacing w:after="120" w:line="240" w:lineRule="auto"/>
        <w:jc w:val="both"/>
        <w:rPr>
          <w:rFonts w:ascii="Cambria" w:hAnsi="Cambria"/>
          <w:color w:val="244061" w:themeColor="accent1" w:themeShade="80"/>
          <w:sz w:val="24"/>
          <w:szCs w:val="24"/>
        </w:rPr>
      </w:pPr>
      <w:r>
        <w:rPr>
          <w:rFonts w:ascii="Cambria" w:hAnsi="Cambria"/>
          <w:color w:val="244061" w:themeColor="accent1" w:themeShade="80"/>
          <w:sz w:val="24"/>
          <w:szCs w:val="24"/>
        </w:rPr>
        <w:t xml:space="preserve">Σε περίπτωση </w:t>
      </w:r>
      <w:r w:rsidRPr="00B75CC7">
        <w:rPr>
          <w:rFonts w:ascii="Cambria" w:hAnsi="Cambria"/>
          <w:b/>
          <w:color w:val="244061" w:themeColor="accent1" w:themeShade="80"/>
          <w:sz w:val="24"/>
          <w:szCs w:val="24"/>
        </w:rPr>
        <w:t>συνεργασίας σε αγροτικές περιοχές</w:t>
      </w:r>
      <w:r>
        <w:rPr>
          <w:rFonts w:ascii="Cambria" w:hAnsi="Cambria"/>
          <w:color w:val="244061" w:themeColor="accent1" w:themeShade="80"/>
          <w:sz w:val="24"/>
          <w:szCs w:val="24"/>
        </w:rPr>
        <w:t xml:space="preserve">, οι ενισχύσεις μπορούν να δοθούν βάσει του κεφαλαίου 3.10 </w:t>
      </w:r>
      <w:r w:rsidRPr="001809BE">
        <w:rPr>
          <w:rFonts w:ascii="Cambria" w:hAnsi="Cambria"/>
          <w:color w:val="244061" w:themeColor="accent1" w:themeShade="80"/>
          <w:sz w:val="24"/>
          <w:szCs w:val="24"/>
        </w:rPr>
        <w:t>«Κατευθυντήριες γραμμές της Ευρωπαϊκής Ένωσης σχετικά με τις κρατικές ενισχύσεις στο γεωργικό και το δασοκομικό τομέα και στις αγροτικές περιοχές για την περίοδο 2014-2020 (2014/C 204/01)»</w:t>
      </w:r>
      <w:r>
        <w:rPr>
          <w:rFonts w:ascii="Cambria" w:hAnsi="Cambria"/>
          <w:color w:val="244061" w:themeColor="accent1" w:themeShade="80"/>
          <w:sz w:val="24"/>
          <w:szCs w:val="24"/>
        </w:rPr>
        <w:t xml:space="preserve">, σημεία 699-712. Η ένταση ενίσχυσης για τη </w:t>
      </w:r>
      <w:r w:rsidRPr="000053EA">
        <w:rPr>
          <w:rFonts w:ascii="Cambria" w:hAnsi="Cambria"/>
          <w:color w:val="244061" w:themeColor="accent1" w:themeShade="80"/>
          <w:sz w:val="24"/>
          <w:szCs w:val="24"/>
          <w:u w:val="single"/>
        </w:rPr>
        <w:t>λειτουργία του συνεργατικού σχηματισμού</w:t>
      </w:r>
      <w:r>
        <w:rPr>
          <w:rFonts w:ascii="Cambria" w:hAnsi="Cambria"/>
          <w:color w:val="244061" w:themeColor="accent1" w:themeShade="80"/>
          <w:sz w:val="24"/>
          <w:szCs w:val="24"/>
        </w:rPr>
        <w:t xml:space="preserve"> δεν υπερβαίνει το 50% των επιλέξιμων δαπανών. Η ένταση ενίσχυσης των </w:t>
      </w:r>
      <w:r w:rsidR="000053EA" w:rsidRPr="000053EA">
        <w:rPr>
          <w:rFonts w:ascii="Cambria" w:hAnsi="Cambria"/>
          <w:color w:val="244061" w:themeColor="accent1" w:themeShade="80"/>
          <w:sz w:val="24"/>
          <w:szCs w:val="24"/>
          <w:u w:val="single"/>
        </w:rPr>
        <w:t>επενδυτικών ενισχύσεων</w:t>
      </w:r>
      <w:r>
        <w:rPr>
          <w:rFonts w:ascii="Cambria" w:hAnsi="Cambria"/>
          <w:color w:val="244061" w:themeColor="accent1" w:themeShade="80"/>
          <w:sz w:val="24"/>
          <w:szCs w:val="24"/>
        </w:rPr>
        <w:t xml:space="preserve"> </w:t>
      </w:r>
      <w:r w:rsidR="004D4702">
        <w:rPr>
          <w:rFonts w:ascii="Cambria" w:hAnsi="Cambria"/>
          <w:color w:val="244061" w:themeColor="accent1" w:themeShade="80"/>
          <w:sz w:val="24"/>
          <w:szCs w:val="24"/>
        </w:rPr>
        <w:t xml:space="preserve">(άμεσων δαπανών που συνδέονται με την υλοποίηση του επιχειρηματικού σχεδίου ή άλλων δράσεων σχετικών με την καινοτομία) </w:t>
      </w:r>
      <w:r>
        <w:rPr>
          <w:rFonts w:ascii="Cambria" w:hAnsi="Cambria"/>
          <w:color w:val="244061" w:themeColor="accent1" w:themeShade="80"/>
          <w:sz w:val="24"/>
          <w:szCs w:val="24"/>
        </w:rPr>
        <w:t>μπορεί να φθάσει έως:</w:t>
      </w:r>
    </w:p>
    <w:p w:rsidR="001E520B" w:rsidRDefault="001E520B" w:rsidP="00B27ACA">
      <w:pPr>
        <w:spacing w:after="120" w:line="240" w:lineRule="auto"/>
        <w:jc w:val="both"/>
        <w:rPr>
          <w:rFonts w:ascii="Cambria" w:hAnsi="Cambria"/>
          <w:color w:val="244061" w:themeColor="accent1" w:themeShade="80"/>
          <w:sz w:val="24"/>
          <w:szCs w:val="24"/>
        </w:rPr>
      </w:pPr>
    </w:p>
    <w:p w:rsidR="000053EA" w:rsidRDefault="000053EA">
      <w:pPr>
        <w:rPr>
          <w:rFonts w:ascii="Cambria" w:hAnsi="Cambria"/>
          <w:color w:val="244061" w:themeColor="accent1" w:themeShade="80"/>
          <w:sz w:val="24"/>
          <w:szCs w:val="24"/>
        </w:rPr>
      </w:pPr>
      <w:r>
        <w:rPr>
          <w:rFonts w:ascii="Cambria" w:hAnsi="Cambria"/>
          <w:color w:val="244061" w:themeColor="accent1" w:themeShade="80"/>
          <w:sz w:val="24"/>
          <w:szCs w:val="24"/>
        </w:rPr>
        <w:br w:type="page"/>
      </w:r>
    </w:p>
    <w:tbl>
      <w:tblPr>
        <w:tblStyle w:val="ab"/>
        <w:tblW w:w="0" w:type="auto"/>
        <w:tblLook w:val="04A0" w:firstRow="1" w:lastRow="0" w:firstColumn="1" w:lastColumn="0" w:noHBand="0" w:noVBand="1"/>
      </w:tblPr>
      <w:tblGrid>
        <w:gridCol w:w="1897"/>
        <w:gridCol w:w="123"/>
        <w:gridCol w:w="1774"/>
        <w:gridCol w:w="1984"/>
        <w:gridCol w:w="2127"/>
        <w:gridCol w:w="2057"/>
      </w:tblGrid>
      <w:tr w:rsidR="00B27ACA" w:rsidTr="001E520B">
        <w:trPr>
          <w:trHeight w:val="841"/>
        </w:trPr>
        <w:tc>
          <w:tcPr>
            <w:tcW w:w="3794" w:type="dxa"/>
            <w:gridSpan w:val="3"/>
            <w:vMerge w:val="restart"/>
            <w:shd w:val="clear" w:color="auto" w:fill="BFBFBF" w:themeFill="background1" w:themeFillShade="BF"/>
            <w:vAlign w:val="center"/>
          </w:tcPr>
          <w:p w:rsidR="00B27ACA" w:rsidRPr="00F1441F" w:rsidRDefault="00B27ACA" w:rsidP="00176C1D">
            <w:pPr>
              <w:spacing w:after="120"/>
              <w:jc w:val="center"/>
              <w:rPr>
                <w:rFonts w:ascii="Cambria" w:hAnsi="Cambria"/>
                <w:b/>
                <w:color w:val="244061" w:themeColor="accent1" w:themeShade="80"/>
                <w:sz w:val="24"/>
                <w:szCs w:val="24"/>
                <w:lang w:val="en-US"/>
              </w:rPr>
            </w:pPr>
            <w:r w:rsidRPr="00F1441F">
              <w:rPr>
                <w:rFonts w:ascii="Cambria" w:hAnsi="Cambria"/>
                <w:b/>
                <w:color w:val="244061" w:themeColor="accent1" w:themeShade="80"/>
                <w:sz w:val="24"/>
                <w:szCs w:val="24"/>
              </w:rPr>
              <w:lastRenderedPageBreak/>
              <w:t xml:space="preserve">Περιφέρειες </w:t>
            </w:r>
            <w:r w:rsidRPr="00F1441F">
              <w:rPr>
                <w:rFonts w:ascii="Cambria" w:hAnsi="Cambria"/>
                <w:b/>
                <w:color w:val="244061" w:themeColor="accent1" w:themeShade="80"/>
                <w:sz w:val="24"/>
                <w:szCs w:val="24"/>
                <w:lang w:val="en-US"/>
              </w:rPr>
              <w:t>NUTS2</w:t>
            </w:r>
          </w:p>
        </w:tc>
        <w:tc>
          <w:tcPr>
            <w:tcW w:w="4111" w:type="dxa"/>
            <w:gridSpan w:val="2"/>
            <w:shd w:val="clear" w:color="auto" w:fill="BFBFBF" w:themeFill="background1" w:themeFillShade="BF"/>
            <w:vAlign w:val="center"/>
          </w:tcPr>
          <w:p w:rsidR="00B27ACA" w:rsidRPr="00F1441F" w:rsidRDefault="00B27ACA" w:rsidP="00176C1D">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Μέγιστες εντάσεις ενίσχυσης σε ΜΜΕ</w:t>
            </w:r>
            <w:r>
              <w:rPr>
                <w:rFonts w:ascii="Cambria" w:hAnsi="Cambria"/>
                <w:b/>
                <w:color w:val="244061" w:themeColor="accent1" w:themeShade="80"/>
                <w:sz w:val="24"/>
                <w:szCs w:val="24"/>
              </w:rPr>
              <w:t xml:space="preserve"> </w:t>
            </w:r>
          </w:p>
        </w:tc>
        <w:tc>
          <w:tcPr>
            <w:tcW w:w="2057" w:type="dxa"/>
            <w:vMerge w:val="restart"/>
            <w:shd w:val="clear" w:color="auto" w:fill="BFBFBF" w:themeFill="background1" w:themeFillShade="BF"/>
            <w:vAlign w:val="center"/>
          </w:tcPr>
          <w:p w:rsidR="00B27ACA" w:rsidRPr="00B27ACA" w:rsidRDefault="00B27ACA" w:rsidP="00176C1D">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Μέγιστες εντάσεις ενίσχυσης σε ΜΜΕ</w:t>
            </w:r>
            <w:r>
              <w:rPr>
                <w:rFonts w:ascii="Cambria" w:hAnsi="Cambria"/>
                <w:b/>
                <w:color w:val="244061" w:themeColor="accent1" w:themeShade="80"/>
                <w:sz w:val="24"/>
                <w:szCs w:val="24"/>
              </w:rPr>
              <w:t xml:space="preserve"> βάσει καν. (ΕΕ) 1407/2013 (γενικός </w:t>
            </w:r>
            <w:r>
              <w:rPr>
                <w:rFonts w:ascii="Cambria" w:hAnsi="Cambria"/>
                <w:b/>
                <w:color w:val="244061" w:themeColor="accent1" w:themeShade="80"/>
                <w:sz w:val="24"/>
                <w:szCs w:val="24"/>
                <w:lang w:val="en-US"/>
              </w:rPr>
              <w:t>de</w:t>
            </w:r>
            <w:r w:rsidRPr="00B27ACA">
              <w:rPr>
                <w:rFonts w:ascii="Cambria" w:hAnsi="Cambria"/>
                <w:b/>
                <w:color w:val="244061" w:themeColor="accent1" w:themeShade="80"/>
                <w:sz w:val="24"/>
                <w:szCs w:val="24"/>
              </w:rPr>
              <w:t xml:space="preserve"> </w:t>
            </w:r>
            <w:proofErr w:type="spellStart"/>
            <w:r>
              <w:rPr>
                <w:rFonts w:ascii="Cambria" w:hAnsi="Cambria"/>
                <w:b/>
                <w:color w:val="244061" w:themeColor="accent1" w:themeShade="80"/>
                <w:sz w:val="24"/>
                <w:szCs w:val="24"/>
                <w:lang w:val="en-US"/>
              </w:rPr>
              <w:t>minimis</w:t>
            </w:r>
            <w:proofErr w:type="spellEnd"/>
            <w:r w:rsidRPr="00B27ACA">
              <w:rPr>
                <w:rFonts w:ascii="Cambria" w:hAnsi="Cambria"/>
                <w:b/>
                <w:color w:val="244061" w:themeColor="accent1" w:themeShade="80"/>
                <w:sz w:val="24"/>
                <w:szCs w:val="24"/>
              </w:rPr>
              <w:t>)</w:t>
            </w:r>
          </w:p>
        </w:tc>
      </w:tr>
      <w:tr w:rsidR="00B27ACA" w:rsidTr="00176C1D">
        <w:tc>
          <w:tcPr>
            <w:tcW w:w="3794" w:type="dxa"/>
            <w:gridSpan w:val="3"/>
            <w:vMerge/>
            <w:vAlign w:val="center"/>
          </w:tcPr>
          <w:p w:rsidR="00B27ACA" w:rsidRPr="00F1441F" w:rsidRDefault="00B27ACA" w:rsidP="00176C1D">
            <w:pPr>
              <w:spacing w:after="120"/>
              <w:jc w:val="center"/>
              <w:rPr>
                <w:rFonts w:ascii="Cambria" w:hAnsi="Cambria"/>
                <w:b/>
                <w:color w:val="244061" w:themeColor="accent1" w:themeShade="80"/>
                <w:sz w:val="24"/>
                <w:szCs w:val="24"/>
              </w:rPr>
            </w:pPr>
          </w:p>
        </w:tc>
        <w:tc>
          <w:tcPr>
            <w:tcW w:w="1984" w:type="dxa"/>
            <w:vAlign w:val="center"/>
          </w:tcPr>
          <w:p w:rsidR="00B27ACA" w:rsidRPr="00F1441F" w:rsidRDefault="00B27ACA" w:rsidP="00176C1D">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Μεσαίες επιχειρήσεις</w:t>
            </w:r>
          </w:p>
        </w:tc>
        <w:tc>
          <w:tcPr>
            <w:tcW w:w="2127" w:type="dxa"/>
            <w:vAlign w:val="center"/>
          </w:tcPr>
          <w:p w:rsidR="00B27ACA" w:rsidRPr="00F1441F" w:rsidRDefault="00B27ACA" w:rsidP="00176C1D">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Μικρές και πολύ μικρές επιχειρήσεις</w:t>
            </w:r>
          </w:p>
        </w:tc>
        <w:tc>
          <w:tcPr>
            <w:tcW w:w="2057" w:type="dxa"/>
            <w:vMerge/>
            <w:vAlign w:val="center"/>
          </w:tcPr>
          <w:p w:rsidR="00B27ACA" w:rsidRPr="00F1441F" w:rsidRDefault="00B27ACA" w:rsidP="00176C1D">
            <w:pPr>
              <w:spacing w:after="120"/>
              <w:jc w:val="center"/>
              <w:rPr>
                <w:rFonts w:ascii="Cambria" w:hAnsi="Cambria"/>
                <w:b/>
                <w:color w:val="244061" w:themeColor="accent1" w:themeShade="80"/>
                <w:sz w:val="24"/>
                <w:szCs w:val="24"/>
              </w:rPr>
            </w:pPr>
          </w:p>
        </w:tc>
      </w:tr>
      <w:tr w:rsidR="00B27ACA" w:rsidTr="00176C1D">
        <w:trPr>
          <w:trHeight w:val="563"/>
        </w:trPr>
        <w:tc>
          <w:tcPr>
            <w:tcW w:w="2020" w:type="dxa"/>
            <w:gridSpan w:val="2"/>
            <w:vAlign w:val="center"/>
          </w:tcPr>
          <w:p w:rsidR="00B27ACA" w:rsidRPr="00F1441F" w:rsidRDefault="00B27ACA" w:rsidP="00176C1D">
            <w:pPr>
              <w:spacing w:after="120"/>
              <w:jc w:val="center"/>
              <w:rPr>
                <w:rFonts w:ascii="Cambria" w:hAnsi="Cambria"/>
                <w:b/>
                <w:color w:val="244061" w:themeColor="accent1" w:themeShade="80"/>
                <w:sz w:val="24"/>
                <w:szCs w:val="24"/>
              </w:rPr>
            </w:pPr>
          </w:p>
        </w:tc>
        <w:tc>
          <w:tcPr>
            <w:tcW w:w="1774" w:type="dxa"/>
            <w:vAlign w:val="center"/>
          </w:tcPr>
          <w:p w:rsidR="00B27ACA" w:rsidRPr="00F1441F" w:rsidRDefault="00B27ACA" w:rsidP="00176C1D">
            <w:pPr>
              <w:spacing w:after="120"/>
              <w:jc w:val="center"/>
              <w:rPr>
                <w:rFonts w:ascii="Cambria" w:hAnsi="Cambria"/>
                <w:b/>
                <w:color w:val="244061" w:themeColor="accent1" w:themeShade="80"/>
                <w:sz w:val="24"/>
                <w:szCs w:val="24"/>
              </w:rPr>
            </w:pPr>
            <w:r w:rsidRPr="00F1441F">
              <w:rPr>
                <w:rFonts w:ascii="Cambria" w:hAnsi="Cambria"/>
                <w:b/>
                <w:color w:val="244061" w:themeColor="accent1" w:themeShade="80"/>
                <w:sz w:val="24"/>
                <w:szCs w:val="24"/>
              </w:rPr>
              <w:t xml:space="preserve">Περιφέρειες </w:t>
            </w:r>
            <w:r w:rsidRPr="00F1441F">
              <w:rPr>
                <w:rFonts w:ascii="Cambria" w:hAnsi="Cambria"/>
                <w:b/>
                <w:color w:val="244061" w:themeColor="accent1" w:themeShade="80"/>
                <w:sz w:val="24"/>
                <w:szCs w:val="24"/>
                <w:lang w:val="en-US"/>
              </w:rPr>
              <w:t>NUTS</w:t>
            </w:r>
            <w:r w:rsidRPr="00D26E47">
              <w:rPr>
                <w:rFonts w:ascii="Cambria" w:hAnsi="Cambria"/>
                <w:b/>
                <w:color w:val="244061" w:themeColor="accent1" w:themeShade="80"/>
                <w:sz w:val="24"/>
                <w:szCs w:val="24"/>
              </w:rPr>
              <w:t>3</w:t>
            </w:r>
          </w:p>
        </w:tc>
        <w:tc>
          <w:tcPr>
            <w:tcW w:w="6168" w:type="dxa"/>
            <w:gridSpan w:val="3"/>
            <w:vAlign w:val="center"/>
          </w:tcPr>
          <w:p w:rsidR="00B27ACA" w:rsidRDefault="00B27ACA" w:rsidP="00176C1D">
            <w:pPr>
              <w:spacing w:after="120"/>
              <w:jc w:val="center"/>
              <w:rPr>
                <w:rFonts w:ascii="Cambria" w:hAnsi="Cambria"/>
                <w:b/>
                <w:color w:val="244061" w:themeColor="accent1" w:themeShade="80"/>
                <w:sz w:val="24"/>
                <w:szCs w:val="24"/>
              </w:rPr>
            </w:pPr>
            <w:r>
              <w:rPr>
                <w:rFonts w:ascii="Cambria" w:hAnsi="Cambria"/>
                <w:b/>
                <w:color w:val="244061" w:themeColor="accent1" w:themeShade="80"/>
                <w:sz w:val="24"/>
                <w:szCs w:val="24"/>
              </w:rPr>
              <w:t>% των επιλέξιμων δαπανών</w:t>
            </w:r>
          </w:p>
        </w:tc>
      </w:tr>
      <w:tr w:rsidR="00B27ACA" w:rsidTr="00176C1D">
        <w:tc>
          <w:tcPr>
            <w:tcW w:w="7905" w:type="dxa"/>
            <w:gridSpan w:val="5"/>
            <w:shd w:val="clear" w:color="auto" w:fill="D9D9D9" w:themeFill="background1" w:themeFillShade="D9"/>
            <w:vAlign w:val="center"/>
          </w:tcPr>
          <w:p w:rsidR="00B27ACA" w:rsidRPr="00534276" w:rsidRDefault="00B27ACA" w:rsidP="00176C1D">
            <w:pPr>
              <w:spacing w:after="120"/>
              <w:jc w:val="center"/>
              <w:rPr>
                <w:rFonts w:ascii="Cambria" w:hAnsi="Cambria"/>
                <w:color w:val="244061" w:themeColor="accent1" w:themeShade="80"/>
                <w:sz w:val="24"/>
                <w:szCs w:val="24"/>
              </w:rPr>
            </w:pPr>
            <w:r w:rsidRPr="00534276">
              <w:rPr>
                <w:rFonts w:ascii="Cambria" w:hAnsi="Cambria"/>
                <w:color w:val="244061" w:themeColor="accent1" w:themeShade="80"/>
                <w:sz w:val="24"/>
                <w:szCs w:val="24"/>
              </w:rPr>
              <w:t>Λιγότερο ανεπτυγμένες περιφέρειες με κατά κεφαλή ΑΕΠ υψηλότερο του 60% του μέσου όρου της ΕΕ-27</w:t>
            </w:r>
          </w:p>
        </w:tc>
        <w:tc>
          <w:tcPr>
            <w:tcW w:w="2057" w:type="dxa"/>
            <w:vMerge w:val="restart"/>
            <w:vAlign w:val="center"/>
          </w:tcPr>
          <w:p w:rsidR="00B27ACA" w:rsidRPr="00A3196D"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Χ</w:t>
            </w:r>
            <w:r w:rsidRPr="00A3196D">
              <w:rPr>
                <w:rFonts w:ascii="Cambria" w:hAnsi="Cambria"/>
                <w:color w:val="244061" w:themeColor="accent1" w:themeShade="80"/>
                <w:sz w:val="24"/>
                <w:szCs w:val="24"/>
              </w:rPr>
              <w:t xml:space="preserve">ρήση </w:t>
            </w:r>
            <w:r w:rsidRPr="00A3196D">
              <w:rPr>
                <w:rFonts w:ascii="Cambria" w:hAnsi="Cambria"/>
                <w:color w:val="244061" w:themeColor="accent1" w:themeShade="80"/>
                <w:sz w:val="24"/>
                <w:szCs w:val="24"/>
                <w:lang w:val="en-US"/>
              </w:rPr>
              <w:t>de</w:t>
            </w:r>
            <w:r w:rsidRPr="00A3196D">
              <w:rPr>
                <w:rFonts w:ascii="Cambria" w:hAnsi="Cambria"/>
                <w:color w:val="244061" w:themeColor="accent1" w:themeShade="80"/>
                <w:sz w:val="24"/>
                <w:szCs w:val="24"/>
              </w:rPr>
              <w:t xml:space="preserve"> </w:t>
            </w:r>
            <w:proofErr w:type="spellStart"/>
            <w:r w:rsidRPr="00A3196D">
              <w:rPr>
                <w:rFonts w:ascii="Cambria" w:hAnsi="Cambria"/>
                <w:color w:val="244061" w:themeColor="accent1" w:themeShade="80"/>
                <w:sz w:val="24"/>
                <w:szCs w:val="24"/>
                <w:lang w:val="en-US"/>
              </w:rPr>
              <w:t>minimis</w:t>
            </w:r>
            <w:proofErr w:type="spellEnd"/>
            <w:r>
              <w:rPr>
                <w:rFonts w:ascii="Cambria" w:hAnsi="Cambria"/>
                <w:color w:val="244061" w:themeColor="accent1" w:themeShade="80"/>
                <w:sz w:val="24"/>
                <w:szCs w:val="24"/>
              </w:rPr>
              <w:t xml:space="preserve"> με ποσοστό </w:t>
            </w:r>
            <w:r w:rsidRPr="00A3196D">
              <w:rPr>
                <w:rFonts w:ascii="Cambria" w:hAnsi="Cambria"/>
                <w:color w:val="244061" w:themeColor="accent1" w:themeShade="80"/>
                <w:sz w:val="24"/>
                <w:szCs w:val="24"/>
              </w:rPr>
              <w:t xml:space="preserve"> </w:t>
            </w:r>
            <w:r>
              <w:rPr>
                <w:rFonts w:ascii="Cambria" w:hAnsi="Cambria"/>
                <w:color w:val="244061" w:themeColor="accent1" w:themeShade="80"/>
                <w:sz w:val="24"/>
                <w:szCs w:val="24"/>
              </w:rPr>
              <w:t xml:space="preserve">έως και </w:t>
            </w:r>
            <w:r w:rsidR="00B75CC7">
              <w:rPr>
                <w:rFonts w:ascii="Cambria" w:hAnsi="Cambria"/>
                <w:color w:val="244061" w:themeColor="accent1" w:themeShade="80"/>
                <w:sz w:val="24"/>
                <w:szCs w:val="24"/>
              </w:rPr>
              <w:t xml:space="preserve">έως και </w:t>
            </w:r>
            <w:r w:rsidR="00B75CC7" w:rsidRPr="00BE030B">
              <w:rPr>
                <w:rFonts w:ascii="Cambria" w:hAnsi="Cambria"/>
                <w:color w:val="244061" w:themeColor="accent1" w:themeShade="80"/>
                <w:sz w:val="24"/>
                <w:szCs w:val="24"/>
              </w:rPr>
              <w:t>6</w:t>
            </w:r>
            <w:r w:rsidR="00B75CC7">
              <w:rPr>
                <w:rFonts w:ascii="Cambria" w:hAnsi="Cambria"/>
                <w:color w:val="244061" w:themeColor="accent1" w:themeShade="80"/>
                <w:sz w:val="24"/>
                <w:szCs w:val="24"/>
              </w:rPr>
              <w:t>0</w:t>
            </w:r>
            <w:r w:rsidR="00B75CC7" w:rsidRPr="00BE030B">
              <w:rPr>
                <w:rFonts w:ascii="Cambria" w:hAnsi="Cambria"/>
                <w:color w:val="244061" w:themeColor="accent1" w:themeShade="80"/>
                <w:sz w:val="24"/>
                <w:szCs w:val="24"/>
              </w:rPr>
              <w:t>%,</w:t>
            </w:r>
            <w:r w:rsidR="00B75CC7">
              <w:rPr>
                <w:rFonts w:ascii="Cambria" w:hAnsi="Cambria"/>
                <w:color w:val="244061" w:themeColor="accent1" w:themeShade="80"/>
                <w:sz w:val="24"/>
                <w:szCs w:val="24"/>
              </w:rPr>
              <w:t xml:space="preserve"> εφόσον αιτιολογείται από την τοπική στρατηγική.</w:t>
            </w:r>
          </w:p>
          <w:p w:rsidR="00B27ACA" w:rsidRPr="00A3196D"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Ανατολικής Μακεδονίας &amp; Θράκης</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Κεντρικής Μακεδονίας</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Θεσσαλίας</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Ηπείρου</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Δυτικής Ελλάδας</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Πελοποννήσου</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sidRPr="000F447B">
              <w:rPr>
                <w:rFonts w:ascii="Cambria" w:hAnsi="Cambria"/>
                <w:color w:val="244061" w:themeColor="accent1" w:themeShade="80"/>
                <w:sz w:val="24"/>
                <w:szCs w:val="24"/>
              </w:rPr>
              <w:t>Βορείου Αιγαίου</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127"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45%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7905" w:type="dxa"/>
            <w:gridSpan w:val="5"/>
            <w:shd w:val="clear" w:color="auto" w:fill="D9D9D9" w:themeFill="background1" w:themeFillShade="D9"/>
            <w:vAlign w:val="center"/>
          </w:tcPr>
          <w:p w:rsidR="00B27ACA" w:rsidRPr="0018229B"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Περιοχές «γ» αραιοκατοικημένες περιοχές και σε περιφέρειες </w:t>
            </w:r>
            <w:r>
              <w:rPr>
                <w:rFonts w:ascii="Cambria" w:hAnsi="Cambria"/>
                <w:color w:val="244061" w:themeColor="accent1" w:themeShade="80"/>
                <w:sz w:val="24"/>
                <w:szCs w:val="24"/>
                <w:lang w:val="en-US"/>
              </w:rPr>
              <w:t>NUTS</w:t>
            </w:r>
            <w:r w:rsidRPr="0018229B">
              <w:rPr>
                <w:rFonts w:ascii="Cambria" w:hAnsi="Cambria"/>
                <w:color w:val="244061" w:themeColor="accent1" w:themeShade="80"/>
                <w:sz w:val="24"/>
                <w:szCs w:val="24"/>
              </w:rPr>
              <w:t xml:space="preserve">3 </w:t>
            </w:r>
            <w:r>
              <w:rPr>
                <w:rFonts w:ascii="Cambria" w:hAnsi="Cambria"/>
                <w:color w:val="244061" w:themeColor="accent1" w:themeShade="80"/>
                <w:sz w:val="24"/>
                <w:szCs w:val="24"/>
              </w:rPr>
              <w:t>ή τμήματα αυτών που έχουν χερσαία σύνορα με χώρα εκτός του ΕΟΧ ή της ΕΖΕΣ</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Στερεά Ελλάδα</w:t>
            </w: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Ευρυτανία</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restart"/>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Καστοριά</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p>
        </w:tc>
        <w:tc>
          <w:tcPr>
            <w:tcW w:w="177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Φλώρινα</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25%</w:t>
            </w:r>
          </w:p>
        </w:tc>
        <w:tc>
          <w:tcPr>
            <w:tcW w:w="2127"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35%</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7905" w:type="dxa"/>
            <w:gridSpan w:val="5"/>
            <w:shd w:val="clear" w:color="auto" w:fill="D9D9D9" w:themeFill="background1" w:themeFillShade="D9"/>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Πρώην περιοχές «α»</w:t>
            </w:r>
            <w:r w:rsidRPr="00D034CC">
              <w:rPr>
                <w:rFonts w:ascii="Cambria" w:hAnsi="Cambria"/>
                <w:color w:val="244061" w:themeColor="accent1" w:themeShade="80"/>
                <w:sz w:val="24"/>
                <w:szCs w:val="24"/>
              </w:rPr>
              <w:t xml:space="preserve"> </w:t>
            </w:r>
            <w:r>
              <w:rPr>
                <w:rFonts w:ascii="Cambria" w:hAnsi="Cambria"/>
                <w:color w:val="244061" w:themeColor="accent1" w:themeShade="80"/>
                <w:sz w:val="24"/>
                <w:szCs w:val="24"/>
              </w:rPr>
              <w:t>(περίοδος έως 31/12/2017)</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restart"/>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Γρεβενά </w:t>
            </w:r>
          </w:p>
        </w:tc>
        <w:tc>
          <w:tcPr>
            <w:tcW w:w="1984" w:type="dxa"/>
            <w:vAlign w:val="center"/>
          </w:tcPr>
          <w:p w:rsidR="00B27ACA" w:rsidRPr="00A3196D" w:rsidRDefault="00B27ACA" w:rsidP="00176C1D">
            <w:pPr>
              <w:spacing w:after="120"/>
              <w:jc w:val="center"/>
              <w:rPr>
                <w:rFonts w:ascii="Cambria" w:hAnsi="Cambria"/>
                <w:color w:val="244061" w:themeColor="accent1" w:themeShade="80"/>
                <w:sz w:val="24"/>
                <w:szCs w:val="24"/>
                <w:lang w:val="en-US"/>
              </w:rPr>
            </w:pPr>
            <w:r>
              <w:rPr>
                <w:rFonts w:ascii="Cambria" w:hAnsi="Cambria"/>
                <w:color w:val="244061" w:themeColor="accent1" w:themeShade="80"/>
                <w:sz w:val="24"/>
                <w:szCs w:val="24"/>
              </w:rPr>
              <w:t xml:space="preserve">25% </w:t>
            </w:r>
          </w:p>
        </w:tc>
        <w:tc>
          <w:tcPr>
            <w:tcW w:w="2127" w:type="dxa"/>
            <w:vAlign w:val="center"/>
          </w:tcPr>
          <w:p w:rsidR="00B27ACA" w:rsidRPr="00A3196D" w:rsidRDefault="00B27ACA" w:rsidP="00176C1D">
            <w:pPr>
              <w:spacing w:after="120"/>
              <w:jc w:val="center"/>
              <w:rPr>
                <w:rFonts w:ascii="Cambria" w:hAnsi="Cambria"/>
                <w:color w:val="244061" w:themeColor="accent1" w:themeShade="80"/>
                <w:sz w:val="24"/>
                <w:szCs w:val="24"/>
                <w:lang w:val="en-US"/>
              </w:rPr>
            </w:pPr>
            <w:r>
              <w:rPr>
                <w:rFonts w:ascii="Cambria" w:hAnsi="Cambria"/>
                <w:color w:val="244061" w:themeColor="accent1" w:themeShade="80"/>
                <w:sz w:val="24"/>
                <w:szCs w:val="24"/>
                <w:lang w:val="en-US"/>
              </w:rPr>
              <w:t>35%</w:t>
            </w:r>
            <w:r>
              <w:rPr>
                <w:rFonts w:ascii="Cambria" w:hAnsi="Cambria"/>
                <w:color w:val="244061" w:themeColor="accent1" w:themeShade="80"/>
                <w:sz w:val="24"/>
                <w:szCs w:val="24"/>
              </w:rPr>
              <w:t xml:space="preserve"> </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ign w:val="center"/>
          </w:tcPr>
          <w:p w:rsidR="00B27ACA" w:rsidRDefault="00B27ACA" w:rsidP="00176C1D">
            <w:pPr>
              <w:spacing w:after="120"/>
              <w:jc w:val="center"/>
              <w:rPr>
                <w:rFonts w:ascii="Cambria" w:hAnsi="Cambria"/>
                <w:color w:val="244061" w:themeColor="accent1" w:themeShade="80"/>
                <w:sz w:val="24"/>
                <w:szCs w:val="24"/>
              </w:rPr>
            </w:pP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Κοζάνη</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25% </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Pr>
                <w:rFonts w:ascii="Cambria" w:hAnsi="Cambria"/>
                <w:color w:val="244061" w:themeColor="accent1" w:themeShade="80"/>
                <w:sz w:val="24"/>
                <w:szCs w:val="24"/>
              </w:rPr>
              <w:t xml:space="preserve"> </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Ιόνια Νησιά</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25% </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Pr>
                <w:rFonts w:ascii="Cambria" w:hAnsi="Cambria"/>
                <w:color w:val="244061" w:themeColor="accent1" w:themeShade="80"/>
                <w:sz w:val="24"/>
                <w:szCs w:val="24"/>
              </w:rPr>
              <w:t xml:space="preserve"> </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Κρήτη</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25% </w:t>
            </w:r>
          </w:p>
        </w:tc>
        <w:tc>
          <w:tcPr>
            <w:tcW w:w="2127"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lang w:val="en-US"/>
              </w:rPr>
              <w:t>35%</w:t>
            </w:r>
            <w:r>
              <w:rPr>
                <w:rFonts w:ascii="Cambria" w:hAnsi="Cambria"/>
                <w:color w:val="244061" w:themeColor="accent1" w:themeShade="80"/>
                <w:sz w:val="24"/>
                <w:szCs w:val="24"/>
              </w:rPr>
              <w:t xml:space="preserve"> </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7905" w:type="dxa"/>
            <w:gridSpan w:val="5"/>
            <w:tcBorders>
              <w:bottom w:val="single" w:sz="4" w:space="0" w:color="auto"/>
            </w:tcBorders>
            <w:shd w:val="clear" w:color="auto" w:fill="D9D9D9" w:themeFill="background1" w:themeFillShade="D9"/>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Πρώην περιοχές «α»</w:t>
            </w:r>
            <w:r w:rsidRPr="00D034CC">
              <w:rPr>
                <w:rFonts w:ascii="Cambria" w:hAnsi="Cambria"/>
                <w:color w:val="244061" w:themeColor="accent1" w:themeShade="80"/>
                <w:sz w:val="24"/>
                <w:szCs w:val="24"/>
              </w:rPr>
              <w:t xml:space="preserve"> </w:t>
            </w:r>
            <w:r>
              <w:rPr>
                <w:rFonts w:ascii="Cambria" w:hAnsi="Cambria"/>
                <w:color w:val="244061" w:themeColor="accent1" w:themeShade="80"/>
                <w:sz w:val="24"/>
                <w:szCs w:val="24"/>
              </w:rPr>
              <w:t>(περίοδος από 1/1/2018 έως και 31/12/2020)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1897" w:type="dxa"/>
            <w:vMerge w:val="restart"/>
            <w:vAlign w:val="center"/>
          </w:tcPr>
          <w:p w:rsidR="00B27ACA" w:rsidRPr="00D034CC" w:rsidRDefault="00B27ACA" w:rsidP="00176C1D">
            <w:pPr>
              <w:spacing w:after="120"/>
              <w:rPr>
                <w:rFonts w:ascii="Cambria" w:hAnsi="Cambria"/>
                <w:color w:val="244061" w:themeColor="accent1" w:themeShade="80"/>
                <w:sz w:val="24"/>
                <w:szCs w:val="24"/>
              </w:rPr>
            </w:pPr>
            <w:r>
              <w:rPr>
                <w:rFonts w:ascii="Cambria" w:hAnsi="Cambria"/>
                <w:color w:val="244061" w:themeColor="accent1" w:themeShade="80"/>
                <w:sz w:val="24"/>
                <w:szCs w:val="24"/>
              </w:rPr>
              <w:t>Δυτική Μακεδονία</w:t>
            </w:r>
          </w:p>
        </w:tc>
        <w:tc>
          <w:tcPr>
            <w:tcW w:w="1897" w:type="dxa"/>
            <w:gridSpan w:val="2"/>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 xml:space="preserve">Γρεβενά </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1897" w:type="dxa"/>
            <w:vMerge/>
            <w:tcBorders>
              <w:bottom w:val="single" w:sz="4" w:space="0" w:color="auto"/>
            </w:tcBorders>
            <w:vAlign w:val="center"/>
          </w:tcPr>
          <w:p w:rsidR="00B27ACA" w:rsidRPr="00D034CC" w:rsidRDefault="00B27ACA" w:rsidP="00176C1D">
            <w:pPr>
              <w:spacing w:after="120"/>
              <w:rPr>
                <w:rFonts w:ascii="Cambria" w:hAnsi="Cambria"/>
                <w:color w:val="244061" w:themeColor="accent1" w:themeShade="80"/>
                <w:sz w:val="24"/>
                <w:szCs w:val="24"/>
              </w:rPr>
            </w:pPr>
          </w:p>
        </w:tc>
        <w:tc>
          <w:tcPr>
            <w:tcW w:w="1897" w:type="dxa"/>
            <w:gridSpan w:val="2"/>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Κοζάνη</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Ιόνια Νησιά</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Κρήτη</w:t>
            </w:r>
          </w:p>
        </w:tc>
        <w:tc>
          <w:tcPr>
            <w:tcW w:w="1984" w:type="dxa"/>
            <w:tcBorders>
              <w:bottom w:val="single" w:sz="4" w:space="0" w:color="auto"/>
            </w:tcBorders>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tcBorders>
              <w:bottom w:val="single" w:sz="4" w:space="0" w:color="auto"/>
            </w:tcBorders>
            <w:vAlign w:val="center"/>
          </w:tcPr>
          <w:p w:rsidR="00B27ACA" w:rsidRPr="00D034CC"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7905" w:type="dxa"/>
            <w:gridSpan w:val="5"/>
            <w:shd w:val="clear" w:color="auto" w:fill="D9D9D9" w:themeFill="background1" w:themeFillShade="D9"/>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Μη προκαθορισμένες περιοχές «γ»</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Αττική</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restart"/>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Στερεά Ελλάδα</w:t>
            </w: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Βοιωτία</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ign w:val="center"/>
          </w:tcPr>
          <w:p w:rsidR="00B27ACA" w:rsidRDefault="00B27ACA" w:rsidP="00176C1D">
            <w:pPr>
              <w:spacing w:after="120"/>
              <w:jc w:val="center"/>
              <w:rPr>
                <w:rFonts w:ascii="Cambria" w:hAnsi="Cambria"/>
                <w:color w:val="244061" w:themeColor="accent1" w:themeShade="80"/>
                <w:sz w:val="24"/>
                <w:szCs w:val="24"/>
              </w:rPr>
            </w:pP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Φθιώτιδα</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ign w:val="center"/>
          </w:tcPr>
          <w:p w:rsidR="00B27ACA" w:rsidRDefault="00B27ACA" w:rsidP="00176C1D">
            <w:pPr>
              <w:spacing w:after="120"/>
              <w:jc w:val="center"/>
              <w:rPr>
                <w:rFonts w:ascii="Cambria" w:hAnsi="Cambria"/>
                <w:color w:val="244061" w:themeColor="accent1" w:themeShade="80"/>
                <w:sz w:val="24"/>
                <w:szCs w:val="24"/>
              </w:rPr>
            </w:pP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Εύβοια</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2020" w:type="dxa"/>
            <w:gridSpan w:val="2"/>
            <w:vMerge/>
            <w:vAlign w:val="center"/>
          </w:tcPr>
          <w:p w:rsidR="00B27ACA" w:rsidRDefault="00B27ACA" w:rsidP="00176C1D">
            <w:pPr>
              <w:spacing w:after="120"/>
              <w:jc w:val="center"/>
              <w:rPr>
                <w:rFonts w:ascii="Cambria" w:hAnsi="Cambria"/>
                <w:color w:val="244061" w:themeColor="accent1" w:themeShade="80"/>
                <w:sz w:val="24"/>
                <w:szCs w:val="24"/>
              </w:rPr>
            </w:pPr>
          </w:p>
        </w:tc>
        <w:tc>
          <w:tcPr>
            <w:tcW w:w="177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Φωκίδα</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r w:rsidR="00B27ACA" w:rsidTr="00176C1D">
        <w:tc>
          <w:tcPr>
            <w:tcW w:w="3794" w:type="dxa"/>
            <w:gridSpan w:val="3"/>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Νότιο Αιγαίο</w:t>
            </w:r>
          </w:p>
        </w:tc>
        <w:tc>
          <w:tcPr>
            <w:tcW w:w="1984"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20%</w:t>
            </w:r>
          </w:p>
        </w:tc>
        <w:tc>
          <w:tcPr>
            <w:tcW w:w="2127" w:type="dxa"/>
            <w:vAlign w:val="center"/>
          </w:tcPr>
          <w:p w:rsidR="00B27ACA" w:rsidRDefault="00B27ACA" w:rsidP="00176C1D">
            <w:pPr>
              <w:spacing w:after="120"/>
              <w:jc w:val="center"/>
              <w:rPr>
                <w:rFonts w:ascii="Cambria" w:hAnsi="Cambria"/>
                <w:color w:val="244061" w:themeColor="accent1" w:themeShade="80"/>
                <w:sz w:val="24"/>
                <w:szCs w:val="24"/>
              </w:rPr>
            </w:pPr>
            <w:r>
              <w:rPr>
                <w:rFonts w:ascii="Cambria" w:hAnsi="Cambria"/>
                <w:color w:val="244061" w:themeColor="accent1" w:themeShade="80"/>
                <w:sz w:val="24"/>
                <w:szCs w:val="24"/>
              </w:rPr>
              <w:t>30%</w:t>
            </w:r>
          </w:p>
        </w:tc>
        <w:tc>
          <w:tcPr>
            <w:tcW w:w="2057" w:type="dxa"/>
            <w:vMerge/>
            <w:vAlign w:val="center"/>
          </w:tcPr>
          <w:p w:rsidR="00B27ACA" w:rsidRDefault="00B27ACA" w:rsidP="00176C1D">
            <w:pPr>
              <w:spacing w:after="120"/>
              <w:jc w:val="center"/>
              <w:rPr>
                <w:rFonts w:ascii="Cambria" w:hAnsi="Cambria"/>
                <w:color w:val="244061" w:themeColor="accent1" w:themeShade="80"/>
                <w:sz w:val="24"/>
                <w:szCs w:val="24"/>
              </w:rPr>
            </w:pPr>
          </w:p>
        </w:tc>
      </w:tr>
    </w:tbl>
    <w:p w:rsidR="006A0BE7" w:rsidRPr="006A0BE7" w:rsidRDefault="00B81143" w:rsidP="00BE1D4A">
      <w:pPr>
        <w:pStyle w:val="2"/>
        <w:spacing w:before="0" w:after="120" w:line="240" w:lineRule="auto"/>
        <w:jc w:val="both"/>
        <w:rPr>
          <w:rFonts w:ascii="Cambria" w:hAnsi="Cambria"/>
          <w:b w:val="0"/>
          <w:color w:val="244061" w:themeColor="accent1" w:themeShade="80"/>
          <w:sz w:val="24"/>
          <w:szCs w:val="24"/>
        </w:rPr>
      </w:pPr>
      <w:r>
        <w:rPr>
          <w:rFonts w:ascii="Cambria" w:hAnsi="Cambria"/>
          <w:color w:val="244061" w:themeColor="accent1" w:themeShade="80"/>
          <w:sz w:val="24"/>
          <w:szCs w:val="24"/>
        </w:rPr>
        <w:t xml:space="preserve">  </w:t>
      </w:r>
    </w:p>
    <w:sectPr w:rsidR="006A0BE7" w:rsidRPr="006A0BE7" w:rsidSect="001E520B">
      <w:footerReference w:type="default" r:id="rId10"/>
      <w:pgSz w:w="11906" w:h="16838"/>
      <w:pgMar w:top="993" w:right="1080" w:bottom="851"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3A" w:rsidRDefault="0021513A" w:rsidP="00FD414D">
      <w:pPr>
        <w:spacing w:after="0" w:line="240" w:lineRule="auto"/>
      </w:pPr>
      <w:r>
        <w:separator/>
      </w:r>
    </w:p>
  </w:endnote>
  <w:endnote w:type="continuationSeparator" w:id="0">
    <w:p w:rsidR="0021513A" w:rsidRDefault="0021513A" w:rsidP="00FD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A1"/>
    <w:family w:val="roman"/>
    <w:notTrueType/>
    <w:pitch w:val="variable"/>
    <w:sig w:usb0="0000008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0B" w:rsidRPr="00BE1D4A" w:rsidRDefault="00B5360B">
    <w:pPr>
      <w:pStyle w:val="af"/>
      <w:pBdr>
        <w:top w:val="thinThickSmallGap" w:sz="24" w:space="1" w:color="622423" w:themeColor="accent2" w:themeShade="7F"/>
      </w:pBdr>
      <w:rPr>
        <w:rFonts w:ascii="Cambria" w:eastAsiaTheme="majorEastAsia" w:hAnsi="Cambria" w:cstheme="majorBidi"/>
        <w:color w:val="244061" w:themeColor="accent1" w:themeShade="80"/>
      </w:rPr>
    </w:pPr>
    <w:r w:rsidRPr="00BE1D4A">
      <w:rPr>
        <w:rFonts w:ascii="Cambria" w:eastAsiaTheme="majorEastAsia" w:hAnsi="Cambria" w:cstheme="majorBidi"/>
        <w:color w:val="244061" w:themeColor="accent1" w:themeShade="80"/>
      </w:rPr>
      <w:t>ΕΥΔ ΠΑΑ – ΜΟΝΑΔΑ ΠΡΟΓΡΑΜΜΑΤΙΣΜΟΥ &amp; ΑΞΙΟΛΟΓΗΣΗΣ</w:t>
    </w:r>
    <w:r w:rsidRPr="00BE1D4A">
      <w:rPr>
        <w:rFonts w:ascii="Cambria" w:eastAsiaTheme="majorEastAsia" w:hAnsi="Cambria" w:cstheme="majorBidi"/>
        <w:color w:val="244061" w:themeColor="accent1" w:themeShade="80"/>
      </w:rPr>
      <w:ptab w:relativeTo="margin" w:alignment="right" w:leader="none"/>
    </w:r>
    <w:r w:rsidRPr="00BE1D4A">
      <w:rPr>
        <w:rFonts w:ascii="Cambria" w:eastAsiaTheme="majorEastAsia" w:hAnsi="Cambria" w:cstheme="majorBidi"/>
        <w:color w:val="244061" w:themeColor="accent1" w:themeShade="80"/>
      </w:rPr>
      <w:t xml:space="preserve">Σελίδα </w:t>
    </w:r>
    <w:r w:rsidRPr="00BE1D4A">
      <w:rPr>
        <w:rFonts w:ascii="Cambria" w:eastAsiaTheme="minorEastAsia" w:hAnsi="Cambria"/>
        <w:color w:val="244061" w:themeColor="accent1" w:themeShade="80"/>
      </w:rPr>
      <w:fldChar w:fldCharType="begin"/>
    </w:r>
    <w:r w:rsidRPr="00BE1D4A">
      <w:rPr>
        <w:rFonts w:ascii="Cambria" w:hAnsi="Cambria"/>
        <w:color w:val="244061" w:themeColor="accent1" w:themeShade="80"/>
      </w:rPr>
      <w:instrText>PAGE   \* MERGEFORMAT</w:instrText>
    </w:r>
    <w:r w:rsidRPr="00BE1D4A">
      <w:rPr>
        <w:rFonts w:ascii="Cambria" w:eastAsiaTheme="minorEastAsia" w:hAnsi="Cambria"/>
        <w:color w:val="244061" w:themeColor="accent1" w:themeShade="80"/>
      </w:rPr>
      <w:fldChar w:fldCharType="separate"/>
    </w:r>
    <w:r w:rsidR="008837AE" w:rsidRPr="008837AE">
      <w:rPr>
        <w:rFonts w:ascii="Cambria" w:eastAsiaTheme="majorEastAsia" w:hAnsi="Cambria" w:cstheme="majorBidi"/>
        <w:noProof/>
        <w:color w:val="244061" w:themeColor="accent1" w:themeShade="80"/>
      </w:rPr>
      <w:t>4</w:t>
    </w:r>
    <w:r w:rsidRPr="00BE1D4A">
      <w:rPr>
        <w:rFonts w:ascii="Cambria" w:eastAsiaTheme="majorEastAsia" w:hAnsi="Cambria" w:cstheme="majorBidi"/>
        <w:color w:val="244061" w:themeColor="accent1" w:themeShade="80"/>
      </w:rPr>
      <w:fldChar w:fldCharType="end"/>
    </w:r>
  </w:p>
  <w:p w:rsidR="00B5360B" w:rsidRDefault="00B536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3A" w:rsidRDefault="0021513A" w:rsidP="00FD414D">
      <w:pPr>
        <w:spacing w:after="0" w:line="240" w:lineRule="auto"/>
      </w:pPr>
      <w:r>
        <w:separator/>
      </w:r>
    </w:p>
  </w:footnote>
  <w:footnote w:type="continuationSeparator" w:id="0">
    <w:p w:rsidR="0021513A" w:rsidRDefault="0021513A" w:rsidP="00FD414D">
      <w:pPr>
        <w:spacing w:after="0" w:line="240" w:lineRule="auto"/>
      </w:pPr>
      <w:r>
        <w:continuationSeparator/>
      </w:r>
    </w:p>
  </w:footnote>
  <w:footnote w:id="1">
    <w:p w:rsidR="00B5360B" w:rsidRPr="00BE030B" w:rsidRDefault="00B5360B" w:rsidP="00F94990">
      <w:pPr>
        <w:spacing w:after="0" w:line="240" w:lineRule="auto"/>
        <w:jc w:val="both"/>
        <w:rPr>
          <w:rFonts w:ascii="Cambria" w:hAnsi="Cambria"/>
          <w:color w:val="0F243E" w:themeColor="text2" w:themeShade="80"/>
          <w:sz w:val="18"/>
          <w:szCs w:val="18"/>
        </w:rPr>
      </w:pPr>
      <w:r>
        <w:rPr>
          <w:rStyle w:val="a9"/>
        </w:rPr>
        <w:footnoteRef/>
      </w:r>
      <w:r w:rsidRPr="00BE030B">
        <w:rPr>
          <w:rFonts w:ascii="Cambria" w:hAnsi="Cambria"/>
          <w:color w:val="0F243E" w:themeColor="text2" w:themeShade="80"/>
          <w:sz w:val="18"/>
          <w:szCs w:val="18"/>
        </w:rPr>
        <w:t>Ευνοϊκή μεταχείριση αποτελεί</w:t>
      </w:r>
      <w:r w:rsidRPr="00BE030B">
        <w:rPr>
          <w:rFonts w:ascii="Cambria" w:hAnsi="Cambria"/>
          <w:bCs/>
          <w:color w:val="0F243E" w:themeColor="text2" w:themeShade="80"/>
          <w:sz w:val="18"/>
          <w:szCs w:val="18"/>
        </w:rPr>
        <w:t xml:space="preserve"> οποιαδήποτε ανακούφιση από κόστος έμφυτο στις οικονομικές δραστηριότητες της δικαιούχου επιχείρησης.</w:t>
      </w:r>
    </w:p>
  </w:footnote>
  <w:footnote w:id="2">
    <w:p w:rsidR="00B5360B" w:rsidRPr="00BE030B" w:rsidRDefault="00B5360B" w:rsidP="00F94990">
      <w:pPr>
        <w:spacing w:after="0" w:line="240" w:lineRule="auto"/>
        <w:jc w:val="both"/>
        <w:rPr>
          <w:rFonts w:ascii="Cambria" w:hAnsi="Cambria"/>
          <w:color w:val="0F243E" w:themeColor="text2" w:themeShade="80"/>
          <w:sz w:val="18"/>
          <w:szCs w:val="18"/>
        </w:rPr>
      </w:pPr>
      <w:r w:rsidRPr="00BE030B">
        <w:rPr>
          <w:rStyle w:val="a9"/>
          <w:rFonts w:ascii="Cambria" w:hAnsi="Cambria"/>
          <w:color w:val="0F243E" w:themeColor="text2" w:themeShade="80"/>
          <w:sz w:val="18"/>
          <w:szCs w:val="18"/>
        </w:rPr>
        <w:footnoteRef/>
      </w:r>
      <w:r w:rsidRPr="00BE030B">
        <w:rPr>
          <w:rFonts w:ascii="Cambria" w:hAnsi="Cambria"/>
          <w:color w:val="0F243E" w:themeColor="text2" w:themeShade="80"/>
          <w:sz w:val="18"/>
          <w:szCs w:val="18"/>
        </w:rPr>
        <w:t xml:space="preserve">Ως επιχείρηση νοείται </w:t>
      </w:r>
      <w:r w:rsidRPr="00BE030B">
        <w:rPr>
          <w:rFonts w:ascii="Cambria" w:hAnsi="Cambria"/>
          <w:bCs/>
          <w:color w:val="0F243E" w:themeColor="text2" w:themeShade="80"/>
          <w:sz w:val="18"/>
          <w:szCs w:val="18"/>
        </w:rPr>
        <w:t xml:space="preserve">οποιοσδήποτε φορέας ασκεί οικονομική δραστηριότητα </w:t>
      </w:r>
      <w:r w:rsidRPr="00BE030B">
        <w:rPr>
          <w:rFonts w:ascii="Cambria" w:hAnsi="Cambria"/>
          <w:color w:val="0F243E" w:themeColor="text2" w:themeShade="80"/>
          <w:sz w:val="18"/>
          <w:szCs w:val="18"/>
        </w:rPr>
        <w:t xml:space="preserve">ανεξάρτητα από το νομικό καθεστώς  και τον τρόπο χρηματοδότησής του και ανεξάρτητα από τον αν ο χαρακτήρας είναι κερδοσκοπικός ή κοινωνικός. </w:t>
      </w:r>
    </w:p>
  </w:footnote>
  <w:footnote w:id="3">
    <w:p w:rsidR="00B5360B" w:rsidRPr="00BE030B" w:rsidRDefault="00B5360B" w:rsidP="00F94990">
      <w:pPr>
        <w:pStyle w:val="a8"/>
        <w:jc w:val="both"/>
        <w:rPr>
          <w:rFonts w:ascii="Cambria" w:hAnsi="Cambria"/>
          <w:color w:val="0F243E" w:themeColor="text2" w:themeShade="80"/>
          <w:sz w:val="18"/>
          <w:szCs w:val="18"/>
        </w:rPr>
      </w:pPr>
      <w:r w:rsidRPr="00BE030B">
        <w:rPr>
          <w:rStyle w:val="a9"/>
          <w:rFonts w:ascii="Cambria" w:hAnsi="Cambria"/>
          <w:color w:val="0F243E" w:themeColor="text2" w:themeShade="80"/>
          <w:sz w:val="18"/>
          <w:szCs w:val="18"/>
        </w:rPr>
        <w:footnoteRef/>
      </w:r>
      <w:r w:rsidRPr="00BE030B">
        <w:rPr>
          <w:rFonts w:ascii="Cambria" w:hAnsi="Cambria"/>
          <w:color w:val="0F243E" w:themeColor="text2" w:themeShade="80"/>
          <w:sz w:val="18"/>
          <w:szCs w:val="18"/>
        </w:rPr>
        <w:t xml:space="preserve"> </w:t>
      </w:r>
      <w:hyperlink r:id="rId1" w:history="1">
        <w:r w:rsidRPr="00BE030B">
          <w:rPr>
            <w:rStyle w:val="-"/>
            <w:rFonts w:ascii="Cambria" w:hAnsi="Cambria"/>
            <w:color w:val="0F243E" w:themeColor="text2" w:themeShade="80"/>
            <w:sz w:val="18"/>
            <w:szCs w:val="18"/>
          </w:rPr>
          <w:t>http://eur-lex.europa.eu/legal-content/EL/TXT/PDF/?uri=CELEX:32013R1305&amp;rid=1</w:t>
        </w:r>
      </w:hyperlink>
    </w:p>
  </w:footnote>
  <w:footnote w:id="4">
    <w:p w:rsidR="00B5360B" w:rsidRPr="00BE030B" w:rsidRDefault="00B5360B" w:rsidP="00F94990">
      <w:pPr>
        <w:pStyle w:val="a8"/>
        <w:jc w:val="both"/>
        <w:rPr>
          <w:rFonts w:ascii="Cambria" w:hAnsi="Cambria"/>
          <w:color w:val="0F243E" w:themeColor="text2" w:themeShade="80"/>
          <w:sz w:val="18"/>
          <w:szCs w:val="18"/>
        </w:rPr>
      </w:pPr>
      <w:r w:rsidRPr="00BE030B">
        <w:rPr>
          <w:rStyle w:val="a9"/>
          <w:rFonts w:ascii="Cambria" w:hAnsi="Cambria"/>
          <w:color w:val="0F243E" w:themeColor="text2" w:themeShade="80"/>
          <w:sz w:val="18"/>
          <w:szCs w:val="18"/>
        </w:rPr>
        <w:footnoteRef/>
      </w:r>
      <w:r w:rsidRPr="00BE030B">
        <w:rPr>
          <w:rFonts w:ascii="Cambria" w:hAnsi="Cambria"/>
          <w:color w:val="0F243E" w:themeColor="text2" w:themeShade="80"/>
          <w:sz w:val="18"/>
          <w:szCs w:val="18"/>
        </w:rPr>
        <w:t xml:space="preserve"> </w:t>
      </w:r>
      <w:hyperlink r:id="rId2" w:history="1">
        <w:r w:rsidRPr="00BE030B">
          <w:rPr>
            <w:rStyle w:val="-"/>
            <w:rFonts w:ascii="Cambria" w:hAnsi="Cambria"/>
            <w:color w:val="0F243E" w:themeColor="text2" w:themeShade="80"/>
            <w:sz w:val="18"/>
            <w:szCs w:val="18"/>
          </w:rPr>
          <w:t>http://eur-lex.europa.eu/legal-content/EL/TXT/PDF/?uri=CELEX:12012E/TXT&amp;from=EL</w:t>
        </w:r>
      </w:hyperlink>
    </w:p>
  </w:footnote>
  <w:footnote w:id="5">
    <w:p w:rsidR="00B5360B" w:rsidRPr="00BE1D4A" w:rsidRDefault="00B5360B" w:rsidP="00F94990">
      <w:pPr>
        <w:pStyle w:val="a8"/>
        <w:rPr>
          <w:rStyle w:val="-"/>
        </w:rPr>
      </w:pPr>
      <w:r w:rsidRPr="00BE030B">
        <w:rPr>
          <w:rStyle w:val="a9"/>
          <w:rFonts w:ascii="Cambria" w:hAnsi="Cambria"/>
          <w:color w:val="0F243E" w:themeColor="text2" w:themeShade="80"/>
          <w:sz w:val="18"/>
          <w:szCs w:val="18"/>
        </w:rPr>
        <w:footnoteRef/>
      </w:r>
      <w:r w:rsidRPr="00BE030B">
        <w:rPr>
          <w:rFonts w:ascii="Cambria" w:hAnsi="Cambria"/>
          <w:color w:val="0F243E" w:themeColor="text2" w:themeShade="80"/>
          <w:sz w:val="18"/>
          <w:szCs w:val="18"/>
        </w:rPr>
        <w:t xml:space="preserve"> </w:t>
      </w:r>
      <w:hyperlink r:id="rId3" w:history="1">
        <w:r w:rsidRPr="00BE1D4A">
          <w:rPr>
            <w:rStyle w:val="-"/>
          </w:rPr>
          <w:t>http://eur-lex.europa.eu/legal-content/EL/TXT/PDF/?uri=CELEX:32013R1407&amp;rid=1</w:t>
        </w:r>
      </w:hyperlink>
    </w:p>
  </w:footnote>
  <w:footnote w:id="6">
    <w:p w:rsidR="00B5360B" w:rsidRDefault="00B5360B">
      <w:pPr>
        <w:pStyle w:val="a8"/>
      </w:pPr>
      <w:r>
        <w:rPr>
          <w:rStyle w:val="a9"/>
        </w:rPr>
        <w:footnoteRef/>
      </w:r>
      <w:r>
        <w:t xml:space="preserve"> </w:t>
      </w:r>
      <w:hyperlink r:id="rId4" w:history="1">
        <w:r w:rsidRPr="006B1010">
          <w:rPr>
            <w:rStyle w:val="-"/>
          </w:rPr>
          <w:t>http://eur-lex.europa.eu/legal-content/EL/TXT/PDF/?uri=CELEX:32014R0702&amp;rid=1</w:t>
        </w:r>
      </w:hyperlink>
    </w:p>
  </w:footnote>
  <w:footnote w:id="7">
    <w:p w:rsidR="00B5360B" w:rsidRDefault="00B5360B">
      <w:pPr>
        <w:pStyle w:val="a8"/>
      </w:pPr>
      <w:r>
        <w:rPr>
          <w:rStyle w:val="a9"/>
        </w:rPr>
        <w:footnoteRef/>
      </w:r>
      <w:r>
        <w:t xml:space="preserve"> </w:t>
      </w:r>
      <w:hyperlink r:id="rId5" w:history="1">
        <w:r w:rsidRPr="002F0125">
          <w:rPr>
            <w:rStyle w:val="-"/>
          </w:rPr>
          <w:t>http://eur-lex.europa.eu/legal-content/EL/TXT/PDF/?uri=CELEX:32014R0651&amp;rid=1</w:t>
        </w:r>
      </w:hyperlink>
    </w:p>
  </w:footnote>
  <w:footnote w:id="8">
    <w:p w:rsidR="00B5360B" w:rsidRPr="00B37208" w:rsidRDefault="00B5360B">
      <w:pPr>
        <w:pStyle w:val="a8"/>
      </w:pPr>
      <w:r>
        <w:rPr>
          <w:rStyle w:val="a9"/>
        </w:rPr>
        <w:footnoteRef/>
      </w:r>
      <w:r>
        <w:t xml:space="preserve"> </w:t>
      </w:r>
      <w:hyperlink r:id="rId6" w:history="1">
        <w:r w:rsidRPr="00B37208">
          <w:rPr>
            <w:rStyle w:val="-"/>
          </w:rPr>
          <w:t>http://eur-lex.europa.eu/legal-content/EL/TXT/PDF/?uri=OJ:C:2014:204:FULL&amp;from=EL</w:t>
        </w:r>
      </w:hyperlink>
    </w:p>
  </w:footnote>
  <w:footnote w:id="9">
    <w:p w:rsidR="00B5360B" w:rsidRPr="00BE1D4A" w:rsidRDefault="00B5360B">
      <w:pPr>
        <w:pStyle w:val="a8"/>
        <w:rPr>
          <w:color w:val="244061" w:themeColor="accent1" w:themeShade="80"/>
        </w:rPr>
      </w:pPr>
      <w:r>
        <w:rPr>
          <w:rStyle w:val="a9"/>
        </w:rPr>
        <w:footnoteRef/>
      </w:r>
      <w:r>
        <w:t xml:space="preserve"> </w:t>
      </w:r>
      <w:r w:rsidRPr="00BE1D4A">
        <w:rPr>
          <w:rFonts w:ascii="Cambria" w:hAnsi="Cambria"/>
          <w:color w:val="244061" w:themeColor="accent1" w:themeShade="80"/>
        </w:rPr>
        <w:t>Αρμόδια Αρχή για όλα τα συγχρηματοδοτούμενα από τα ΕΔΕΤ έργων σχετικά με θέματα κρατικών ενισχύσεων είναι η Ειδική Υπηρεσία Κρατικών Ενισχύσεων (ΕΥΚΕ)</w:t>
      </w:r>
    </w:p>
  </w:footnote>
  <w:footnote w:id="10">
    <w:p w:rsidR="00B5360B" w:rsidRPr="00AC55AD" w:rsidRDefault="00B5360B" w:rsidP="00AC55AD">
      <w:pPr>
        <w:pStyle w:val="a8"/>
        <w:jc w:val="both"/>
        <w:rPr>
          <w:rFonts w:ascii="Cambria" w:hAnsi="Cambria"/>
          <w:color w:val="0F243E" w:themeColor="text2" w:themeShade="80"/>
        </w:rPr>
      </w:pPr>
      <w:r w:rsidRPr="00AC55AD">
        <w:rPr>
          <w:rStyle w:val="a9"/>
          <w:rFonts w:ascii="Cambria" w:hAnsi="Cambria"/>
          <w:color w:val="0F243E" w:themeColor="text2" w:themeShade="80"/>
        </w:rPr>
        <w:footnoteRef/>
      </w:r>
      <w:r w:rsidRPr="00AC55AD">
        <w:rPr>
          <w:rFonts w:ascii="Cambria" w:hAnsi="Cambria"/>
          <w:color w:val="0F243E" w:themeColor="text2" w:themeShade="80"/>
        </w:rPr>
        <w:t xml:space="preserve"> Γεωργικός τομέας: το σύνολο των επιχειρήσεων που δραστηριοποιούνται στην πρωτογενή παραγωγή, τη μεταποίηση και την εμπορία γεωργικών προϊόντων</w:t>
      </w:r>
      <w:r w:rsidR="00AC55AD" w:rsidRPr="00AC55AD">
        <w:rPr>
          <w:rFonts w:ascii="Cambria" w:hAnsi="Cambria"/>
          <w:color w:val="0F243E" w:themeColor="text2" w:themeShade="80"/>
        </w:rPr>
        <w:t>.</w:t>
      </w:r>
      <w:r w:rsidRPr="00AC55AD">
        <w:rPr>
          <w:rFonts w:ascii="Cambria" w:hAnsi="Cambria"/>
          <w:color w:val="0F243E" w:themeColor="text2" w:themeShade="80"/>
        </w:rPr>
        <w:t xml:space="preserve"> </w:t>
      </w:r>
    </w:p>
  </w:footnote>
  <w:footnote w:id="11">
    <w:p w:rsidR="00B5360B" w:rsidRPr="00AC55AD" w:rsidRDefault="00B5360B" w:rsidP="00AC55AD">
      <w:pPr>
        <w:pStyle w:val="a8"/>
        <w:jc w:val="both"/>
        <w:rPr>
          <w:rFonts w:ascii="Cambria" w:hAnsi="Cambria"/>
          <w:color w:val="0F243E" w:themeColor="text2" w:themeShade="80"/>
        </w:rPr>
      </w:pPr>
      <w:r w:rsidRPr="00AC55AD">
        <w:rPr>
          <w:rStyle w:val="a9"/>
          <w:rFonts w:ascii="Cambria" w:hAnsi="Cambria"/>
          <w:color w:val="0F243E" w:themeColor="text2" w:themeShade="80"/>
        </w:rPr>
        <w:footnoteRef/>
      </w:r>
      <w:r w:rsidRPr="00AC55AD">
        <w:rPr>
          <w:rFonts w:ascii="Cambria" w:hAnsi="Cambria"/>
          <w:color w:val="0F243E" w:themeColor="text2" w:themeShade="80"/>
        </w:rPr>
        <w:t xml:space="preserve"> Η δράση μπορεί να αφορά σε ίδρυση ή εκσυγχρονισμό/ανάπτυξη μια μεταποιητικής μονάδας. Σε κάθε μια από τις δύο δράσεις μπορεί να επιλεγούν από τις ΟΤΔ διαφορετικό μέγιστο ποσοστό ενίσχυσης και διαφορετικό ανώτατο συνολικό κόστος μιας επένδυσης. </w:t>
      </w:r>
    </w:p>
  </w:footnote>
  <w:footnote w:id="12">
    <w:p w:rsidR="00B5360B" w:rsidRPr="00AC55AD" w:rsidRDefault="00B5360B" w:rsidP="00AC55AD">
      <w:pPr>
        <w:pStyle w:val="a8"/>
        <w:jc w:val="both"/>
        <w:rPr>
          <w:rFonts w:ascii="Cambria" w:hAnsi="Cambria"/>
          <w:color w:val="0F243E" w:themeColor="text2" w:themeShade="80"/>
        </w:rPr>
      </w:pPr>
      <w:r w:rsidRPr="00AC55AD">
        <w:rPr>
          <w:rFonts w:ascii="Cambria" w:hAnsi="Cambria"/>
          <w:color w:val="0F243E" w:themeColor="text2" w:themeShade="80"/>
          <w:vertAlign w:val="superscript"/>
        </w:rPr>
        <w:footnoteRef/>
      </w:r>
      <w:r w:rsidRPr="00AC55AD">
        <w:rPr>
          <w:rFonts w:ascii="Cambria" w:hAnsi="Cambria"/>
          <w:color w:val="0F243E" w:themeColor="text2" w:themeShade="80"/>
        </w:rPr>
        <w:t xml:space="preserve"> Γεωργικό προϊόν: τα προϊόντα που απαριθμούνται στο Παράρτημα Ι της Συνθήκης για τη Λειτουργία της Ευρωπαϊκής Ένωσης (ΣΛΕΕ), εξαιρουμένων των προϊόντων αλιείας και υδατοκαλλιέργειας </w:t>
      </w:r>
    </w:p>
  </w:footnote>
  <w:footnote w:id="13">
    <w:p w:rsidR="00B5360B" w:rsidRPr="00AC55AD" w:rsidRDefault="00B5360B" w:rsidP="00AC55AD">
      <w:pPr>
        <w:pStyle w:val="a8"/>
        <w:jc w:val="both"/>
        <w:rPr>
          <w:rFonts w:ascii="Cambria" w:hAnsi="Cambria"/>
          <w:color w:val="0F243E" w:themeColor="text2" w:themeShade="80"/>
        </w:rPr>
      </w:pPr>
      <w:r w:rsidRPr="00AC55AD">
        <w:rPr>
          <w:rFonts w:ascii="Cambria" w:hAnsi="Cambria"/>
          <w:color w:val="0F243E" w:themeColor="text2" w:themeShade="80"/>
          <w:vertAlign w:val="superscript"/>
        </w:rPr>
        <w:footnoteRef/>
      </w:r>
      <w:r w:rsidRPr="00AC55AD">
        <w:rPr>
          <w:rFonts w:ascii="Cambria" w:hAnsi="Cambria"/>
          <w:color w:val="0F243E" w:themeColor="text2" w:themeShade="80"/>
          <w:vertAlign w:val="superscript"/>
        </w:rPr>
        <w:t xml:space="preserve"> </w:t>
      </w:r>
      <w:r w:rsidRPr="00AC55AD">
        <w:rPr>
          <w:rFonts w:ascii="Cambria" w:hAnsi="Cambria"/>
          <w:color w:val="0F243E" w:themeColor="text2" w:themeShade="80"/>
        </w:rPr>
        <w:t>Αφορά σε όλα τα νησιά του Αιγαίου εκτός από Κρήτη και Εύβοια, βάσει του άρθρου 1 του Καν. 229/2013, με τον οποίο καταργήθηκε ο Καν. 2019/93</w:t>
      </w:r>
    </w:p>
  </w:footnote>
  <w:footnote w:id="14">
    <w:p w:rsidR="00B5360B" w:rsidRPr="00AC55AD" w:rsidRDefault="00B5360B">
      <w:pPr>
        <w:pStyle w:val="a8"/>
        <w:rPr>
          <w:rFonts w:ascii="Cambria" w:hAnsi="Cambria"/>
          <w:color w:val="0F243E" w:themeColor="text2" w:themeShade="80"/>
        </w:rPr>
      </w:pPr>
      <w:r w:rsidRPr="00AC55AD">
        <w:rPr>
          <w:rStyle w:val="a9"/>
          <w:rFonts w:ascii="Cambria" w:hAnsi="Cambria"/>
          <w:color w:val="0F243E" w:themeColor="text2" w:themeShade="80"/>
        </w:rPr>
        <w:footnoteRef/>
      </w:r>
      <w:r w:rsidRPr="00AC55AD">
        <w:rPr>
          <w:rFonts w:ascii="Cambria" w:hAnsi="Cambria"/>
          <w:color w:val="0F243E" w:themeColor="text2" w:themeShade="80"/>
        </w:rPr>
        <w:t xml:space="preserve"> Το μέγιστο ποσοστό ενίσχυσης διαμορφώνεται βάσει του ανώτατου ποσού ενίσχυσης το οποίο δε θα πρέπει να υπερβαίνει τις 200.000 € την τριετία. </w:t>
      </w:r>
    </w:p>
  </w:footnote>
  <w:footnote w:id="15">
    <w:p w:rsidR="00AC55AD" w:rsidRPr="00AC55AD" w:rsidRDefault="00AC55AD" w:rsidP="00AC55AD">
      <w:pPr>
        <w:pStyle w:val="a8"/>
        <w:jc w:val="both"/>
        <w:rPr>
          <w:rFonts w:ascii="Cambria" w:hAnsi="Cambria"/>
          <w:color w:val="244061" w:themeColor="accent1" w:themeShade="80"/>
        </w:rPr>
      </w:pPr>
      <w:r>
        <w:rPr>
          <w:rStyle w:val="a9"/>
        </w:rPr>
        <w:footnoteRef/>
      </w:r>
      <w:r>
        <w:t xml:space="preserve"> </w:t>
      </w:r>
      <w:r w:rsidRPr="00AC55AD">
        <w:rPr>
          <w:rFonts w:ascii="Cambria" w:hAnsi="Cambria"/>
          <w:color w:val="244061" w:themeColor="accent1" w:themeShade="80"/>
        </w:rPr>
        <w:t xml:space="preserve">Αφορά σε δύο ξεχωριστές δράσεις που αφορούν είτε την πρόληψη, είτε την αποκατάσταση. Εάν η τοπική στρατηγική το επιβάλλει μπορεί </w:t>
      </w:r>
      <w:r>
        <w:rPr>
          <w:rFonts w:ascii="Cambria" w:hAnsi="Cambria"/>
          <w:color w:val="244061" w:themeColor="accent1" w:themeShade="80"/>
        </w:rPr>
        <w:t xml:space="preserve">η δράση να αφορά σε </w:t>
      </w:r>
      <w:r w:rsidRPr="00AC55AD">
        <w:rPr>
          <w:rFonts w:ascii="Cambria" w:hAnsi="Cambria"/>
          <w:color w:val="244061" w:themeColor="accent1" w:themeShade="80"/>
        </w:rPr>
        <w:t xml:space="preserve">πρόληψη αλλά και αποκατάσταση.  </w:t>
      </w:r>
    </w:p>
  </w:footnote>
  <w:footnote w:id="16">
    <w:p w:rsidR="00AC55AD" w:rsidRPr="00AC55AD" w:rsidRDefault="00AC55AD" w:rsidP="00AC55AD">
      <w:pPr>
        <w:pStyle w:val="a8"/>
        <w:jc w:val="both"/>
        <w:rPr>
          <w:rFonts w:ascii="Cambria" w:hAnsi="Cambria"/>
          <w:color w:val="244061" w:themeColor="accent1" w:themeShade="80"/>
        </w:rPr>
      </w:pPr>
      <w:r>
        <w:rPr>
          <w:rStyle w:val="a9"/>
        </w:rPr>
        <w:footnoteRef/>
      </w:r>
      <w:r>
        <w:t xml:space="preserve"> </w:t>
      </w:r>
      <w:r w:rsidRPr="00BE1D4A">
        <w:rPr>
          <w:rFonts w:ascii="Cambria" w:hAnsi="Cambria"/>
          <w:color w:val="244061" w:themeColor="accent1" w:themeShade="80"/>
        </w:rPr>
        <w:t>Γεωργικός τομέα</w:t>
      </w:r>
      <w:r>
        <w:rPr>
          <w:rFonts w:ascii="Cambria" w:hAnsi="Cambria"/>
          <w:color w:val="244061" w:themeColor="accent1" w:themeShade="80"/>
        </w:rPr>
        <w:t>ς</w:t>
      </w:r>
      <w:r w:rsidRPr="00BE1D4A">
        <w:rPr>
          <w:rFonts w:ascii="Cambria" w:hAnsi="Cambria"/>
          <w:color w:val="244061" w:themeColor="accent1" w:themeShade="80"/>
        </w:rPr>
        <w:t>: το σύνολο των επιχειρήσεων που δραστηριοποιούνται στην πρωτογενή παραγωγή, τη μεταποίηση και την εμπορία γεωργικών προϊόντων</w:t>
      </w:r>
      <w:r>
        <w:rPr>
          <w:rFonts w:ascii="Cambria" w:hAnsi="Cambria"/>
          <w:color w:val="244061" w:themeColor="accent1" w:themeShade="8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390"/>
    <w:multiLevelType w:val="hybridMultilevel"/>
    <w:tmpl w:val="9BE05B50"/>
    <w:lvl w:ilvl="0" w:tplc="94922A24">
      <w:start w:val="1"/>
      <w:numFmt w:val="bullet"/>
      <w:lvlText w:val=""/>
      <w:lvlJc w:val="left"/>
      <w:pPr>
        <w:tabs>
          <w:tab w:val="num" w:pos="720"/>
        </w:tabs>
        <w:ind w:left="720" w:hanging="360"/>
      </w:pPr>
      <w:rPr>
        <w:rFonts w:ascii="Wingdings" w:hAnsi="Wingdings" w:hint="default"/>
      </w:rPr>
    </w:lvl>
    <w:lvl w:ilvl="1" w:tplc="2CBEB930">
      <w:start w:val="1"/>
      <w:numFmt w:val="bullet"/>
      <w:lvlText w:val=""/>
      <w:lvlJc w:val="left"/>
      <w:pPr>
        <w:tabs>
          <w:tab w:val="num" w:pos="1440"/>
        </w:tabs>
        <w:ind w:left="1440" w:hanging="360"/>
      </w:pPr>
      <w:rPr>
        <w:rFonts w:ascii="Wingdings" w:hAnsi="Wingdings" w:hint="default"/>
      </w:rPr>
    </w:lvl>
    <w:lvl w:ilvl="2" w:tplc="10642FB4" w:tentative="1">
      <w:start w:val="1"/>
      <w:numFmt w:val="bullet"/>
      <w:lvlText w:val=""/>
      <w:lvlJc w:val="left"/>
      <w:pPr>
        <w:tabs>
          <w:tab w:val="num" w:pos="2160"/>
        </w:tabs>
        <w:ind w:left="2160" w:hanging="360"/>
      </w:pPr>
      <w:rPr>
        <w:rFonts w:ascii="Wingdings" w:hAnsi="Wingdings" w:hint="default"/>
      </w:rPr>
    </w:lvl>
    <w:lvl w:ilvl="3" w:tplc="5A421D6C" w:tentative="1">
      <w:start w:val="1"/>
      <w:numFmt w:val="bullet"/>
      <w:lvlText w:val=""/>
      <w:lvlJc w:val="left"/>
      <w:pPr>
        <w:tabs>
          <w:tab w:val="num" w:pos="2880"/>
        </w:tabs>
        <w:ind w:left="2880" w:hanging="360"/>
      </w:pPr>
      <w:rPr>
        <w:rFonts w:ascii="Wingdings" w:hAnsi="Wingdings" w:hint="default"/>
      </w:rPr>
    </w:lvl>
    <w:lvl w:ilvl="4" w:tplc="18EEBC56" w:tentative="1">
      <w:start w:val="1"/>
      <w:numFmt w:val="bullet"/>
      <w:lvlText w:val=""/>
      <w:lvlJc w:val="left"/>
      <w:pPr>
        <w:tabs>
          <w:tab w:val="num" w:pos="3600"/>
        </w:tabs>
        <w:ind w:left="3600" w:hanging="360"/>
      </w:pPr>
      <w:rPr>
        <w:rFonts w:ascii="Wingdings" w:hAnsi="Wingdings" w:hint="default"/>
      </w:rPr>
    </w:lvl>
    <w:lvl w:ilvl="5" w:tplc="E658410A" w:tentative="1">
      <w:start w:val="1"/>
      <w:numFmt w:val="bullet"/>
      <w:lvlText w:val=""/>
      <w:lvlJc w:val="left"/>
      <w:pPr>
        <w:tabs>
          <w:tab w:val="num" w:pos="4320"/>
        </w:tabs>
        <w:ind w:left="4320" w:hanging="360"/>
      </w:pPr>
      <w:rPr>
        <w:rFonts w:ascii="Wingdings" w:hAnsi="Wingdings" w:hint="default"/>
      </w:rPr>
    </w:lvl>
    <w:lvl w:ilvl="6" w:tplc="9F32B1B6" w:tentative="1">
      <w:start w:val="1"/>
      <w:numFmt w:val="bullet"/>
      <w:lvlText w:val=""/>
      <w:lvlJc w:val="left"/>
      <w:pPr>
        <w:tabs>
          <w:tab w:val="num" w:pos="5040"/>
        </w:tabs>
        <w:ind w:left="5040" w:hanging="360"/>
      </w:pPr>
      <w:rPr>
        <w:rFonts w:ascii="Wingdings" w:hAnsi="Wingdings" w:hint="default"/>
      </w:rPr>
    </w:lvl>
    <w:lvl w:ilvl="7" w:tplc="3AE60D1C" w:tentative="1">
      <w:start w:val="1"/>
      <w:numFmt w:val="bullet"/>
      <w:lvlText w:val=""/>
      <w:lvlJc w:val="left"/>
      <w:pPr>
        <w:tabs>
          <w:tab w:val="num" w:pos="5760"/>
        </w:tabs>
        <w:ind w:left="5760" w:hanging="360"/>
      </w:pPr>
      <w:rPr>
        <w:rFonts w:ascii="Wingdings" w:hAnsi="Wingdings" w:hint="default"/>
      </w:rPr>
    </w:lvl>
    <w:lvl w:ilvl="8" w:tplc="2DC089C0" w:tentative="1">
      <w:start w:val="1"/>
      <w:numFmt w:val="bullet"/>
      <w:lvlText w:val=""/>
      <w:lvlJc w:val="left"/>
      <w:pPr>
        <w:tabs>
          <w:tab w:val="num" w:pos="6480"/>
        </w:tabs>
        <w:ind w:left="6480" w:hanging="360"/>
      </w:pPr>
      <w:rPr>
        <w:rFonts w:ascii="Wingdings" w:hAnsi="Wingdings" w:hint="default"/>
      </w:rPr>
    </w:lvl>
  </w:abstractNum>
  <w:abstractNum w:abstractNumId="1">
    <w:nsid w:val="0387084D"/>
    <w:multiLevelType w:val="hybridMultilevel"/>
    <w:tmpl w:val="3DB0E5AC"/>
    <w:lvl w:ilvl="0" w:tplc="E33C04C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627EC5"/>
    <w:multiLevelType w:val="hybridMultilevel"/>
    <w:tmpl w:val="4FC82638"/>
    <w:lvl w:ilvl="0" w:tplc="FBFED5F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AF6552"/>
    <w:multiLevelType w:val="hybridMultilevel"/>
    <w:tmpl w:val="8AFC4888"/>
    <w:lvl w:ilvl="0" w:tplc="1A848AB6">
      <w:start w:val="1"/>
      <w:numFmt w:val="bullet"/>
      <w:lvlText w:val=""/>
      <w:lvlJc w:val="left"/>
      <w:pPr>
        <w:tabs>
          <w:tab w:val="num" w:pos="720"/>
        </w:tabs>
        <w:ind w:left="720" w:hanging="360"/>
      </w:pPr>
      <w:rPr>
        <w:rFonts w:ascii="Wingdings" w:hAnsi="Wingdings" w:hint="default"/>
      </w:rPr>
    </w:lvl>
    <w:lvl w:ilvl="1" w:tplc="CF98B8F4" w:tentative="1">
      <w:start w:val="1"/>
      <w:numFmt w:val="bullet"/>
      <w:lvlText w:val=""/>
      <w:lvlJc w:val="left"/>
      <w:pPr>
        <w:tabs>
          <w:tab w:val="num" w:pos="1440"/>
        </w:tabs>
        <w:ind w:left="1440" w:hanging="360"/>
      </w:pPr>
      <w:rPr>
        <w:rFonts w:ascii="Wingdings" w:hAnsi="Wingdings" w:hint="default"/>
      </w:rPr>
    </w:lvl>
    <w:lvl w:ilvl="2" w:tplc="D82E06EE" w:tentative="1">
      <w:start w:val="1"/>
      <w:numFmt w:val="bullet"/>
      <w:lvlText w:val=""/>
      <w:lvlJc w:val="left"/>
      <w:pPr>
        <w:tabs>
          <w:tab w:val="num" w:pos="2160"/>
        </w:tabs>
        <w:ind w:left="2160" w:hanging="360"/>
      </w:pPr>
      <w:rPr>
        <w:rFonts w:ascii="Wingdings" w:hAnsi="Wingdings" w:hint="default"/>
      </w:rPr>
    </w:lvl>
    <w:lvl w:ilvl="3" w:tplc="46CEBCCC" w:tentative="1">
      <w:start w:val="1"/>
      <w:numFmt w:val="bullet"/>
      <w:lvlText w:val=""/>
      <w:lvlJc w:val="left"/>
      <w:pPr>
        <w:tabs>
          <w:tab w:val="num" w:pos="2880"/>
        </w:tabs>
        <w:ind w:left="2880" w:hanging="360"/>
      </w:pPr>
      <w:rPr>
        <w:rFonts w:ascii="Wingdings" w:hAnsi="Wingdings" w:hint="default"/>
      </w:rPr>
    </w:lvl>
    <w:lvl w:ilvl="4" w:tplc="57060508" w:tentative="1">
      <w:start w:val="1"/>
      <w:numFmt w:val="bullet"/>
      <w:lvlText w:val=""/>
      <w:lvlJc w:val="left"/>
      <w:pPr>
        <w:tabs>
          <w:tab w:val="num" w:pos="3600"/>
        </w:tabs>
        <w:ind w:left="3600" w:hanging="360"/>
      </w:pPr>
      <w:rPr>
        <w:rFonts w:ascii="Wingdings" w:hAnsi="Wingdings" w:hint="default"/>
      </w:rPr>
    </w:lvl>
    <w:lvl w:ilvl="5" w:tplc="7F30F046" w:tentative="1">
      <w:start w:val="1"/>
      <w:numFmt w:val="bullet"/>
      <w:lvlText w:val=""/>
      <w:lvlJc w:val="left"/>
      <w:pPr>
        <w:tabs>
          <w:tab w:val="num" w:pos="4320"/>
        </w:tabs>
        <w:ind w:left="4320" w:hanging="360"/>
      </w:pPr>
      <w:rPr>
        <w:rFonts w:ascii="Wingdings" w:hAnsi="Wingdings" w:hint="default"/>
      </w:rPr>
    </w:lvl>
    <w:lvl w:ilvl="6" w:tplc="3AA8BE86" w:tentative="1">
      <w:start w:val="1"/>
      <w:numFmt w:val="bullet"/>
      <w:lvlText w:val=""/>
      <w:lvlJc w:val="left"/>
      <w:pPr>
        <w:tabs>
          <w:tab w:val="num" w:pos="5040"/>
        </w:tabs>
        <w:ind w:left="5040" w:hanging="360"/>
      </w:pPr>
      <w:rPr>
        <w:rFonts w:ascii="Wingdings" w:hAnsi="Wingdings" w:hint="default"/>
      </w:rPr>
    </w:lvl>
    <w:lvl w:ilvl="7" w:tplc="C6B21A70" w:tentative="1">
      <w:start w:val="1"/>
      <w:numFmt w:val="bullet"/>
      <w:lvlText w:val=""/>
      <w:lvlJc w:val="left"/>
      <w:pPr>
        <w:tabs>
          <w:tab w:val="num" w:pos="5760"/>
        </w:tabs>
        <w:ind w:left="5760" w:hanging="360"/>
      </w:pPr>
      <w:rPr>
        <w:rFonts w:ascii="Wingdings" w:hAnsi="Wingdings" w:hint="default"/>
      </w:rPr>
    </w:lvl>
    <w:lvl w:ilvl="8" w:tplc="7B027E52" w:tentative="1">
      <w:start w:val="1"/>
      <w:numFmt w:val="bullet"/>
      <w:lvlText w:val=""/>
      <w:lvlJc w:val="left"/>
      <w:pPr>
        <w:tabs>
          <w:tab w:val="num" w:pos="6480"/>
        </w:tabs>
        <w:ind w:left="6480" w:hanging="360"/>
      </w:pPr>
      <w:rPr>
        <w:rFonts w:ascii="Wingdings" w:hAnsi="Wingdings" w:hint="default"/>
      </w:rPr>
    </w:lvl>
  </w:abstractNum>
  <w:abstractNum w:abstractNumId="4">
    <w:nsid w:val="0C665199"/>
    <w:multiLevelType w:val="hybridMultilevel"/>
    <w:tmpl w:val="4420143A"/>
    <w:lvl w:ilvl="0" w:tplc="65F4C676">
      <w:start w:val="1"/>
      <w:numFmt w:val="bullet"/>
      <w:lvlText w:val=""/>
      <w:lvlJc w:val="left"/>
      <w:pPr>
        <w:tabs>
          <w:tab w:val="num" w:pos="720"/>
        </w:tabs>
        <w:ind w:left="720" w:hanging="360"/>
      </w:pPr>
      <w:rPr>
        <w:rFonts w:ascii="Wingdings" w:hAnsi="Wingdings" w:hint="default"/>
      </w:rPr>
    </w:lvl>
    <w:lvl w:ilvl="1" w:tplc="1C1844C6">
      <w:start w:val="1"/>
      <w:numFmt w:val="bullet"/>
      <w:lvlText w:val=""/>
      <w:lvlJc w:val="left"/>
      <w:pPr>
        <w:tabs>
          <w:tab w:val="num" w:pos="1440"/>
        </w:tabs>
        <w:ind w:left="1440" w:hanging="360"/>
      </w:pPr>
      <w:rPr>
        <w:rFonts w:ascii="Wingdings" w:hAnsi="Wingdings" w:hint="default"/>
      </w:rPr>
    </w:lvl>
    <w:lvl w:ilvl="2" w:tplc="D9C4EC22" w:tentative="1">
      <w:start w:val="1"/>
      <w:numFmt w:val="bullet"/>
      <w:lvlText w:val=""/>
      <w:lvlJc w:val="left"/>
      <w:pPr>
        <w:tabs>
          <w:tab w:val="num" w:pos="2160"/>
        </w:tabs>
        <w:ind w:left="2160" w:hanging="360"/>
      </w:pPr>
      <w:rPr>
        <w:rFonts w:ascii="Wingdings" w:hAnsi="Wingdings" w:hint="default"/>
      </w:rPr>
    </w:lvl>
    <w:lvl w:ilvl="3" w:tplc="6F2A3E6E" w:tentative="1">
      <w:start w:val="1"/>
      <w:numFmt w:val="bullet"/>
      <w:lvlText w:val=""/>
      <w:lvlJc w:val="left"/>
      <w:pPr>
        <w:tabs>
          <w:tab w:val="num" w:pos="2880"/>
        </w:tabs>
        <w:ind w:left="2880" w:hanging="360"/>
      </w:pPr>
      <w:rPr>
        <w:rFonts w:ascii="Wingdings" w:hAnsi="Wingdings" w:hint="default"/>
      </w:rPr>
    </w:lvl>
    <w:lvl w:ilvl="4" w:tplc="7EBECFFC" w:tentative="1">
      <w:start w:val="1"/>
      <w:numFmt w:val="bullet"/>
      <w:lvlText w:val=""/>
      <w:lvlJc w:val="left"/>
      <w:pPr>
        <w:tabs>
          <w:tab w:val="num" w:pos="3600"/>
        </w:tabs>
        <w:ind w:left="3600" w:hanging="360"/>
      </w:pPr>
      <w:rPr>
        <w:rFonts w:ascii="Wingdings" w:hAnsi="Wingdings" w:hint="default"/>
      </w:rPr>
    </w:lvl>
    <w:lvl w:ilvl="5" w:tplc="82209138" w:tentative="1">
      <w:start w:val="1"/>
      <w:numFmt w:val="bullet"/>
      <w:lvlText w:val=""/>
      <w:lvlJc w:val="left"/>
      <w:pPr>
        <w:tabs>
          <w:tab w:val="num" w:pos="4320"/>
        </w:tabs>
        <w:ind w:left="4320" w:hanging="360"/>
      </w:pPr>
      <w:rPr>
        <w:rFonts w:ascii="Wingdings" w:hAnsi="Wingdings" w:hint="default"/>
      </w:rPr>
    </w:lvl>
    <w:lvl w:ilvl="6" w:tplc="9050C8BC" w:tentative="1">
      <w:start w:val="1"/>
      <w:numFmt w:val="bullet"/>
      <w:lvlText w:val=""/>
      <w:lvlJc w:val="left"/>
      <w:pPr>
        <w:tabs>
          <w:tab w:val="num" w:pos="5040"/>
        </w:tabs>
        <w:ind w:left="5040" w:hanging="360"/>
      </w:pPr>
      <w:rPr>
        <w:rFonts w:ascii="Wingdings" w:hAnsi="Wingdings" w:hint="default"/>
      </w:rPr>
    </w:lvl>
    <w:lvl w:ilvl="7" w:tplc="48E2602C" w:tentative="1">
      <w:start w:val="1"/>
      <w:numFmt w:val="bullet"/>
      <w:lvlText w:val=""/>
      <w:lvlJc w:val="left"/>
      <w:pPr>
        <w:tabs>
          <w:tab w:val="num" w:pos="5760"/>
        </w:tabs>
        <w:ind w:left="5760" w:hanging="360"/>
      </w:pPr>
      <w:rPr>
        <w:rFonts w:ascii="Wingdings" w:hAnsi="Wingdings" w:hint="default"/>
      </w:rPr>
    </w:lvl>
    <w:lvl w:ilvl="8" w:tplc="07B4C344" w:tentative="1">
      <w:start w:val="1"/>
      <w:numFmt w:val="bullet"/>
      <w:lvlText w:val=""/>
      <w:lvlJc w:val="left"/>
      <w:pPr>
        <w:tabs>
          <w:tab w:val="num" w:pos="6480"/>
        </w:tabs>
        <w:ind w:left="6480" w:hanging="360"/>
      </w:pPr>
      <w:rPr>
        <w:rFonts w:ascii="Wingdings" w:hAnsi="Wingdings" w:hint="default"/>
      </w:rPr>
    </w:lvl>
  </w:abstractNum>
  <w:abstractNum w:abstractNumId="5">
    <w:nsid w:val="0E7C4C4E"/>
    <w:multiLevelType w:val="hybridMultilevel"/>
    <w:tmpl w:val="273EDCCE"/>
    <w:lvl w:ilvl="0" w:tplc="54361C70">
      <w:start w:val="1"/>
      <w:numFmt w:val="bullet"/>
      <w:lvlText w:val=""/>
      <w:lvlJc w:val="left"/>
      <w:pPr>
        <w:tabs>
          <w:tab w:val="num" w:pos="720"/>
        </w:tabs>
        <w:ind w:left="720" w:hanging="360"/>
      </w:pPr>
      <w:rPr>
        <w:rFonts w:ascii="Wingdings" w:hAnsi="Wingdings" w:hint="default"/>
      </w:rPr>
    </w:lvl>
    <w:lvl w:ilvl="1" w:tplc="7B32CD80" w:tentative="1">
      <w:start w:val="1"/>
      <w:numFmt w:val="bullet"/>
      <w:lvlText w:val=""/>
      <w:lvlJc w:val="left"/>
      <w:pPr>
        <w:tabs>
          <w:tab w:val="num" w:pos="1440"/>
        </w:tabs>
        <w:ind w:left="1440" w:hanging="360"/>
      </w:pPr>
      <w:rPr>
        <w:rFonts w:ascii="Wingdings" w:hAnsi="Wingdings" w:hint="default"/>
      </w:rPr>
    </w:lvl>
    <w:lvl w:ilvl="2" w:tplc="22F8F146" w:tentative="1">
      <w:start w:val="1"/>
      <w:numFmt w:val="bullet"/>
      <w:lvlText w:val=""/>
      <w:lvlJc w:val="left"/>
      <w:pPr>
        <w:tabs>
          <w:tab w:val="num" w:pos="2160"/>
        </w:tabs>
        <w:ind w:left="2160" w:hanging="360"/>
      </w:pPr>
      <w:rPr>
        <w:rFonts w:ascii="Wingdings" w:hAnsi="Wingdings" w:hint="default"/>
      </w:rPr>
    </w:lvl>
    <w:lvl w:ilvl="3" w:tplc="BE10F04E" w:tentative="1">
      <w:start w:val="1"/>
      <w:numFmt w:val="bullet"/>
      <w:lvlText w:val=""/>
      <w:lvlJc w:val="left"/>
      <w:pPr>
        <w:tabs>
          <w:tab w:val="num" w:pos="2880"/>
        </w:tabs>
        <w:ind w:left="2880" w:hanging="360"/>
      </w:pPr>
      <w:rPr>
        <w:rFonts w:ascii="Wingdings" w:hAnsi="Wingdings" w:hint="default"/>
      </w:rPr>
    </w:lvl>
    <w:lvl w:ilvl="4" w:tplc="977CF872" w:tentative="1">
      <w:start w:val="1"/>
      <w:numFmt w:val="bullet"/>
      <w:lvlText w:val=""/>
      <w:lvlJc w:val="left"/>
      <w:pPr>
        <w:tabs>
          <w:tab w:val="num" w:pos="3600"/>
        </w:tabs>
        <w:ind w:left="3600" w:hanging="360"/>
      </w:pPr>
      <w:rPr>
        <w:rFonts w:ascii="Wingdings" w:hAnsi="Wingdings" w:hint="default"/>
      </w:rPr>
    </w:lvl>
    <w:lvl w:ilvl="5" w:tplc="CEA4F1A2" w:tentative="1">
      <w:start w:val="1"/>
      <w:numFmt w:val="bullet"/>
      <w:lvlText w:val=""/>
      <w:lvlJc w:val="left"/>
      <w:pPr>
        <w:tabs>
          <w:tab w:val="num" w:pos="4320"/>
        </w:tabs>
        <w:ind w:left="4320" w:hanging="360"/>
      </w:pPr>
      <w:rPr>
        <w:rFonts w:ascii="Wingdings" w:hAnsi="Wingdings" w:hint="default"/>
      </w:rPr>
    </w:lvl>
    <w:lvl w:ilvl="6" w:tplc="5A46BB12" w:tentative="1">
      <w:start w:val="1"/>
      <w:numFmt w:val="bullet"/>
      <w:lvlText w:val=""/>
      <w:lvlJc w:val="left"/>
      <w:pPr>
        <w:tabs>
          <w:tab w:val="num" w:pos="5040"/>
        </w:tabs>
        <w:ind w:left="5040" w:hanging="360"/>
      </w:pPr>
      <w:rPr>
        <w:rFonts w:ascii="Wingdings" w:hAnsi="Wingdings" w:hint="default"/>
      </w:rPr>
    </w:lvl>
    <w:lvl w:ilvl="7" w:tplc="3FB0BA34" w:tentative="1">
      <w:start w:val="1"/>
      <w:numFmt w:val="bullet"/>
      <w:lvlText w:val=""/>
      <w:lvlJc w:val="left"/>
      <w:pPr>
        <w:tabs>
          <w:tab w:val="num" w:pos="5760"/>
        </w:tabs>
        <w:ind w:left="5760" w:hanging="360"/>
      </w:pPr>
      <w:rPr>
        <w:rFonts w:ascii="Wingdings" w:hAnsi="Wingdings" w:hint="default"/>
      </w:rPr>
    </w:lvl>
    <w:lvl w:ilvl="8" w:tplc="037AD336" w:tentative="1">
      <w:start w:val="1"/>
      <w:numFmt w:val="bullet"/>
      <w:lvlText w:val=""/>
      <w:lvlJc w:val="left"/>
      <w:pPr>
        <w:tabs>
          <w:tab w:val="num" w:pos="6480"/>
        </w:tabs>
        <w:ind w:left="6480" w:hanging="360"/>
      </w:pPr>
      <w:rPr>
        <w:rFonts w:ascii="Wingdings" w:hAnsi="Wingdings" w:hint="default"/>
      </w:rPr>
    </w:lvl>
  </w:abstractNum>
  <w:abstractNum w:abstractNumId="6">
    <w:nsid w:val="167F3F63"/>
    <w:multiLevelType w:val="hybridMultilevel"/>
    <w:tmpl w:val="F21234A4"/>
    <w:lvl w:ilvl="0" w:tplc="E70E9370">
      <w:start w:val="847"/>
      <w:numFmt w:val="bullet"/>
      <w:lvlText w:val="–"/>
      <w:lvlJc w:val="left"/>
      <w:pPr>
        <w:tabs>
          <w:tab w:val="num" w:pos="720"/>
        </w:tabs>
        <w:ind w:left="720" w:hanging="360"/>
      </w:pPr>
      <w:rPr>
        <w:rFonts w:ascii="Arial" w:hAnsi="Arial" w:hint="default"/>
      </w:rPr>
    </w:lvl>
    <w:lvl w:ilvl="1" w:tplc="7B32CD80" w:tentative="1">
      <w:start w:val="1"/>
      <w:numFmt w:val="bullet"/>
      <w:lvlText w:val=""/>
      <w:lvlJc w:val="left"/>
      <w:pPr>
        <w:tabs>
          <w:tab w:val="num" w:pos="1440"/>
        </w:tabs>
        <w:ind w:left="1440" w:hanging="360"/>
      </w:pPr>
      <w:rPr>
        <w:rFonts w:ascii="Wingdings" w:hAnsi="Wingdings" w:hint="default"/>
      </w:rPr>
    </w:lvl>
    <w:lvl w:ilvl="2" w:tplc="22F8F146" w:tentative="1">
      <w:start w:val="1"/>
      <w:numFmt w:val="bullet"/>
      <w:lvlText w:val=""/>
      <w:lvlJc w:val="left"/>
      <w:pPr>
        <w:tabs>
          <w:tab w:val="num" w:pos="2160"/>
        </w:tabs>
        <w:ind w:left="2160" w:hanging="360"/>
      </w:pPr>
      <w:rPr>
        <w:rFonts w:ascii="Wingdings" w:hAnsi="Wingdings" w:hint="default"/>
      </w:rPr>
    </w:lvl>
    <w:lvl w:ilvl="3" w:tplc="BE10F04E" w:tentative="1">
      <w:start w:val="1"/>
      <w:numFmt w:val="bullet"/>
      <w:lvlText w:val=""/>
      <w:lvlJc w:val="left"/>
      <w:pPr>
        <w:tabs>
          <w:tab w:val="num" w:pos="2880"/>
        </w:tabs>
        <w:ind w:left="2880" w:hanging="360"/>
      </w:pPr>
      <w:rPr>
        <w:rFonts w:ascii="Wingdings" w:hAnsi="Wingdings" w:hint="default"/>
      </w:rPr>
    </w:lvl>
    <w:lvl w:ilvl="4" w:tplc="977CF872" w:tentative="1">
      <w:start w:val="1"/>
      <w:numFmt w:val="bullet"/>
      <w:lvlText w:val=""/>
      <w:lvlJc w:val="left"/>
      <w:pPr>
        <w:tabs>
          <w:tab w:val="num" w:pos="3600"/>
        </w:tabs>
        <w:ind w:left="3600" w:hanging="360"/>
      </w:pPr>
      <w:rPr>
        <w:rFonts w:ascii="Wingdings" w:hAnsi="Wingdings" w:hint="default"/>
      </w:rPr>
    </w:lvl>
    <w:lvl w:ilvl="5" w:tplc="CEA4F1A2" w:tentative="1">
      <w:start w:val="1"/>
      <w:numFmt w:val="bullet"/>
      <w:lvlText w:val=""/>
      <w:lvlJc w:val="left"/>
      <w:pPr>
        <w:tabs>
          <w:tab w:val="num" w:pos="4320"/>
        </w:tabs>
        <w:ind w:left="4320" w:hanging="360"/>
      </w:pPr>
      <w:rPr>
        <w:rFonts w:ascii="Wingdings" w:hAnsi="Wingdings" w:hint="default"/>
      </w:rPr>
    </w:lvl>
    <w:lvl w:ilvl="6" w:tplc="5A46BB12" w:tentative="1">
      <w:start w:val="1"/>
      <w:numFmt w:val="bullet"/>
      <w:lvlText w:val=""/>
      <w:lvlJc w:val="left"/>
      <w:pPr>
        <w:tabs>
          <w:tab w:val="num" w:pos="5040"/>
        </w:tabs>
        <w:ind w:left="5040" w:hanging="360"/>
      </w:pPr>
      <w:rPr>
        <w:rFonts w:ascii="Wingdings" w:hAnsi="Wingdings" w:hint="default"/>
      </w:rPr>
    </w:lvl>
    <w:lvl w:ilvl="7" w:tplc="3FB0BA34" w:tentative="1">
      <w:start w:val="1"/>
      <w:numFmt w:val="bullet"/>
      <w:lvlText w:val=""/>
      <w:lvlJc w:val="left"/>
      <w:pPr>
        <w:tabs>
          <w:tab w:val="num" w:pos="5760"/>
        </w:tabs>
        <w:ind w:left="5760" w:hanging="360"/>
      </w:pPr>
      <w:rPr>
        <w:rFonts w:ascii="Wingdings" w:hAnsi="Wingdings" w:hint="default"/>
      </w:rPr>
    </w:lvl>
    <w:lvl w:ilvl="8" w:tplc="037AD336" w:tentative="1">
      <w:start w:val="1"/>
      <w:numFmt w:val="bullet"/>
      <w:lvlText w:val=""/>
      <w:lvlJc w:val="left"/>
      <w:pPr>
        <w:tabs>
          <w:tab w:val="num" w:pos="6480"/>
        </w:tabs>
        <w:ind w:left="6480" w:hanging="360"/>
      </w:pPr>
      <w:rPr>
        <w:rFonts w:ascii="Wingdings" w:hAnsi="Wingdings" w:hint="default"/>
      </w:rPr>
    </w:lvl>
  </w:abstractNum>
  <w:abstractNum w:abstractNumId="7">
    <w:nsid w:val="19603D87"/>
    <w:multiLevelType w:val="hybridMultilevel"/>
    <w:tmpl w:val="4F98E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F73006"/>
    <w:multiLevelType w:val="hybridMultilevel"/>
    <w:tmpl w:val="1C567AB4"/>
    <w:lvl w:ilvl="0" w:tplc="E70E9370">
      <w:start w:val="847"/>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997A68"/>
    <w:multiLevelType w:val="hybridMultilevel"/>
    <w:tmpl w:val="693EF1CE"/>
    <w:lvl w:ilvl="0" w:tplc="E33C04C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3D76BE"/>
    <w:multiLevelType w:val="hybridMultilevel"/>
    <w:tmpl w:val="664AAC46"/>
    <w:lvl w:ilvl="0" w:tplc="E33C04C8">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136A30"/>
    <w:multiLevelType w:val="hybridMultilevel"/>
    <w:tmpl w:val="1E7A7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623721"/>
    <w:multiLevelType w:val="hybridMultilevel"/>
    <w:tmpl w:val="62A0086A"/>
    <w:lvl w:ilvl="0" w:tplc="2E70DDC4">
      <w:start w:val="1"/>
      <w:numFmt w:val="bullet"/>
      <w:lvlText w:val="•"/>
      <w:lvlJc w:val="left"/>
      <w:pPr>
        <w:tabs>
          <w:tab w:val="num" w:pos="720"/>
        </w:tabs>
        <w:ind w:left="720" w:hanging="360"/>
      </w:pPr>
      <w:rPr>
        <w:rFonts w:ascii="Times New Roman" w:hAnsi="Times New Roman" w:hint="default"/>
      </w:rPr>
    </w:lvl>
    <w:lvl w:ilvl="1" w:tplc="2B361F88" w:tentative="1">
      <w:start w:val="1"/>
      <w:numFmt w:val="bullet"/>
      <w:lvlText w:val="•"/>
      <w:lvlJc w:val="left"/>
      <w:pPr>
        <w:tabs>
          <w:tab w:val="num" w:pos="1440"/>
        </w:tabs>
        <w:ind w:left="1440" w:hanging="360"/>
      </w:pPr>
      <w:rPr>
        <w:rFonts w:ascii="Times New Roman" w:hAnsi="Times New Roman" w:hint="default"/>
      </w:rPr>
    </w:lvl>
    <w:lvl w:ilvl="2" w:tplc="0292D7E4" w:tentative="1">
      <w:start w:val="1"/>
      <w:numFmt w:val="bullet"/>
      <w:lvlText w:val="•"/>
      <w:lvlJc w:val="left"/>
      <w:pPr>
        <w:tabs>
          <w:tab w:val="num" w:pos="2160"/>
        </w:tabs>
        <w:ind w:left="2160" w:hanging="360"/>
      </w:pPr>
      <w:rPr>
        <w:rFonts w:ascii="Times New Roman" w:hAnsi="Times New Roman" w:hint="default"/>
      </w:rPr>
    </w:lvl>
    <w:lvl w:ilvl="3" w:tplc="E9C61766" w:tentative="1">
      <w:start w:val="1"/>
      <w:numFmt w:val="bullet"/>
      <w:lvlText w:val="•"/>
      <w:lvlJc w:val="left"/>
      <w:pPr>
        <w:tabs>
          <w:tab w:val="num" w:pos="2880"/>
        </w:tabs>
        <w:ind w:left="2880" w:hanging="360"/>
      </w:pPr>
      <w:rPr>
        <w:rFonts w:ascii="Times New Roman" w:hAnsi="Times New Roman" w:hint="default"/>
      </w:rPr>
    </w:lvl>
    <w:lvl w:ilvl="4" w:tplc="03AC3AD8" w:tentative="1">
      <w:start w:val="1"/>
      <w:numFmt w:val="bullet"/>
      <w:lvlText w:val="•"/>
      <w:lvlJc w:val="left"/>
      <w:pPr>
        <w:tabs>
          <w:tab w:val="num" w:pos="3600"/>
        </w:tabs>
        <w:ind w:left="3600" w:hanging="360"/>
      </w:pPr>
      <w:rPr>
        <w:rFonts w:ascii="Times New Roman" w:hAnsi="Times New Roman" w:hint="default"/>
      </w:rPr>
    </w:lvl>
    <w:lvl w:ilvl="5" w:tplc="E3364AC0" w:tentative="1">
      <w:start w:val="1"/>
      <w:numFmt w:val="bullet"/>
      <w:lvlText w:val="•"/>
      <w:lvlJc w:val="left"/>
      <w:pPr>
        <w:tabs>
          <w:tab w:val="num" w:pos="4320"/>
        </w:tabs>
        <w:ind w:left="4320" w:hanging="360"/>
      </w:pPr>
      <w:rPr>
        <w:rFonts w:ascii="Times New Roman" w:hAnsi="Times New Roman" w:hint="default"/>
      </w:rPr>
    </w:lvl>
    <w:lvl w:ilvl="6" w:tplc="3EAA49C6" w:tentative="1">
      <w:start w:val="1"/>
      <w:numFmt w:val="bullet"/>
      <w:lvlText w:val="•"/>
      <w:lvlJc w:val="left"/>
      <w:pPr>
        <w:tabs>
          <w:tab w:val="num" w:pos="5040"/>
        </w:tabs>
        <w:ind w:left="5040" w:hanging="360"/>
      </w:pPr>
      <w:rPr>
        <w:rFonts w:ascii="Times New Roman" w:hAnsi="Times New Roman" w:hint="default"/>
      </w:rPr>
    </w:lvl>
    <w:lvl w:ilvl="7" w:tplc="BDC835AE" w:tentative="1">
      <w:start w:val="1"/>
      <w:numFmt w:val="bullet"/>
      <w:lvlText w:val="•"/>
      <w:lvlJc w:val="left"/>
      <w:pPr>
        <w:tabs>
          <w:tab w:val="num" w:pos="5760"/>
        </w:tabs>
        <w:ind w:left="5760" w:hanging="360"/>
      </w:pPr>
      <w:rPr>
        <w:rFonts w:ascii="Times New Roman" w:hAnsi="Times New Roman" w:hint="default"/>
      </w:rPr>
    </w:lvl>
    <w:lvl w:ilvl="8" w:tplc="A12C9C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796792"/>
    <w:multiLevelType w:val="hybridMultilevel"/>
    <w:tmpl w:val="245676A8"/>
    <w:lvl w:ilvl="0" w:tplc="A5CC216A">
      <w:start w:val="1"/>
      <w:numFmt w:val="bullet"/>
      <w:lvlText w:val=""/>
      <w:lvlJc w:val="left"/>
      <w:pPr>
        <w:tabs>
          <w:tab w:val="num" w:pos="720"/>
        </w:tabs>
        <w:ind w:left="720" w:hanging="360"/>
      </w:pPr>
      <w:rPr>
        <w:rFonts w:ascii="Wingdings" w:hAnsi="Wingdings" w:hint="default"/>
      </w:rPr>
    </w:lvl>
    <w:lvl w:ilvl="1" w:tplc="24809B4C" w:tentative="1">
      <w:start w:val="1"/>
      <w:numFmt w:val="bullet"/>
      <w:lvlText w:val=""/>
      <w:lvlJc w:val="left"/>
      <w:pPr>
        <w:tabs>
          <w:tab w:val="num" w:pos="1440"/>
        </w:tabs>
        <w:ind w:left="1440" w:hanging="360"/>
      </w:pPr>
      <w:rPr>
        <w:rFonts w:ascii="Wingdings" w:hAnsi="Wingdings" w:hint="default"/>
      </w:rPr>
    </w:lvl>
    <w:lvl w:ilvl="2" w:tplc="458EBEF0" w:tentative="1">
      <w:start w:val="1"/>
      <w:numFmt w:val="bullet"/>
      <w:lvlText w:val=""/>
      <w:lvlJc w:val="left"/>
      <w:pPr>
        <w:tabs>
          <w:tab w:val="num" w:pos="2160"/>
        </w:tabs>
        <w:ind w:left="2160" w:hanging="360"/>
      </w:pPr>
      <w:rPr>
        <w:rFonts w:ascii="Wingdings" w:hAnsi="Wingdings" w:hint="default"/>
      </w:rPr>
    </w:lvl>
    <w:lvl w:ilvl="3" w:tplc="B3B6CE26" w:tentative="1">
      <w:start w:val="1"/>
      <w:numFmt w:val="bullet"/>
      <w:lvlText w:val=""/>
      <w:lvlJc w:val="left"/>
      <w:pPr>
        <w:tabs>
          <w:tab w:val="num" w:pos="2880"/>
        </w:tabs>
        <w:ind w:left="2880" w:hanging="360"/>
      </w:pPr>
      <w:rPr>
        <w:rFonts w:ascii="Wingdings" w:hAnsi="Wingdings" w:hint="default"/>
      </w:rPr>
    </w:lvl>
    <w:lvl w:ilvl="4" w:tplc="3BD0F7BE" w:tentative="1">
      <w:start w:val="1"/>
      <w:numFmt w:val="bullet"/>
      <w:lvlText w:val=""/>
      <w:lvlJc w:val="left"/>
      <w:pPr>
        <w:tabs>
          <w:tab w:val="num" w:pos="3600"/>
        </w:tabs>
        <w:ind w:left="3600" w:hanging="360"/>
      </w:pPr>
      <w:rPr>
        <w:rFonts w:ascii="Wingdings" w:hAnsi="Wingdings" w:hint="default"/>
      </w:rPr>
    </w:lvl>
    <w:lvl w:ilvl="5" w:tplc="B46630E6" w:tentative="1">
      <w:start w:val="1"/>
      <w:numFmt w:val="bullet"/>
      <w:lvlText w:val=""/>
      <w:lvlJc w:val="left"/>
      <w:pPr>
        <w:tabs>
          <w:tab w:val="num" w:pos="4320"/>
        </w:tabs>
        <w:ind w:left="4320" w:hanging="360"/>
      </w:pPr>
      <w:rPr>
        <w:rFonts w:ascii="Wingdings" w:hAnsi="Wingdings" w:hint="default"/>
      </w:rPr>
    </w:lvl>
    <w:lvl w:ilvl="6" w:tplc="66B21E0E" w:tentative="1">
      <w:start w:val="1"/>
      <w:numFmt w:val="bullet"/>
      <w:lvlText w:val=""/>
      <w:lvlJc w:val="left"/>
      <w:pPr>
        <w:tabs>
          <w:tab w:val="num" w:pos="5040"/>
        </w:tabs>
        <w:ind w:left="5040" w:hanging="360"/>
      </w:pPr>
      <w:rPr>
        <w:rFonts w:ascii="Wingdings" w:hAnsi="Wingdings" w:hint="default"/>
      </w:rPr>
    </w:lvl>
    <w:lvl w:ilvl="7" w:tplc="795E9FEE" w:tentative="1">
      <w:start w:val="1"/>
      <w:numFmt w:val="bullet"/>
      <w:lvlText w:val=""/>
      <w:lvlJc w:val="left"/>
      <w:pPr>
        <w:tabs>
          <w:tab w:val="num" w:pos="5760"/>
        </w:tabs>
        <w:ind w:left="5760" w:hanging="360"/>
      </w:pPr>
      <w:rPr>
        <w:rFonts w:ascii="Wingdings" w:hAnsi="Wingdings" w:hint="default"/>
      </w:rPr>
    </w:lvl>
    <w:lvl w:ilvl="8" w:tplc="F7B22E38" w:tentative="1">
      <w:start w:val="1"/>
      <w:numFmt w:val="bullet"/>
      <w:lvlText w:val=""/>
      <w:lvlJc w:val="left"/>
      <w:pPr>
        <w:tabs>
          <w:tab w:val="num" w:pos="6480"/>
        </w:tabs>
        <w:ind w:left="6480" w:hanging="360"/>
      </w:pPr>
      <w:rPr>
        <w:rFonts w:ascii="Wingdings" w:hAnsi="Wingdings" w:hint="default"/>
      </w:rPr>
    </w:lvl>
  </w:abstractNum>
  <w:abstractNum w:abstractNumId="14">
    <w:nsid w:val="389D17B1"/>
    <w:multiLevelType w:val="hybridMultilevel"/>
    <w:tmpl w:val="44807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451CB1"/>
    <w:multiLevelType w:val="hybridMultilevel"/>
    <w:tmpl w:val="C7C8F5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CF24301"/>
    <w:multiLevelType w:val="hybridMultilevel"/>
    <w:tmpl w:val="6E0A089C"/>
    <w:lvl w:ilvl="0" w:tplc="B668482A">
      <w:start w:val="1"/>
      <w:numFmt w:val="bullet"/>
      <w:lvlText w:val=""/>
      <w:lvlJc w:val="left"/>
      <w:pPr>
        <w:tabs>
          <w:tab w:val="num" w:pos="720"/>
        </w:tabs>
        <w:ind w:left="720" w:hanging="360"/>
      </w:pPr>
      <w:rPr>
        <w:rFonts w:ascii="Wingdings" w:hAnsi="Wingdings" w:hint="default"/>
      </w:rPr>
    </w:lvl>
    <w:lvl w:ilvl="1" w:tplc="E70E9370">
      <w:start w:val="847"/>
      <w:numFmt w:val="bullet"/>
      <w:lvlText w:val="–"/>
      <w:lvlJc w:val="left"/>
      <w:pPr>
        <w:tabs>
          <w:tab w:val="num" w:pos="1440"/>
        </w:tabs>
        <w:ind w:left="1440" w:hanging="360"/>
      </w:pPr>
      <w:rPr>
        <w:rFonts w:ascii="Arial" w:hAnsi="Arial" w:hint="default"/>
      </w:rPr>
    </w:lvl>
    <w:lvl w:ilvl="2" w:tplc="C922CECA" w:tentative="1">
      <w:start w:val="1"/>
      <w:numFmt w:val="bullet"/>
      <w:lvlText w:val=""/>
      <w:lvlJc w:val="left"/>
      <w:pPr>
        <w:tabs>
          <w:tab w:val="num" w:pos="2160"/>
        </w:tabs>
        <w:ind w:left="2160" w:hanging="360"/>
      </w:pPr>
      <w:rPr>
        <w:rFonts w:ascii="Wingdings" w:hAnsi="Wingdings" w:hint="default"/>
      </w:rPr>
    </w:lvl>
    <w:lvl w:ilvl="3" w:tplc="CAD4E110" w:tentative="1">
      <w:start w:val="1"/>
      <w:numFmt w:val="bullet"/>
      <w:lvlText w:val=""/>
      <w:lvlJc w:val="left"/>
      <w:pPr>
        <w:tabs>
          <w:tab w:val="num" w:pos="2880"/>
        </w:tabs>
        <w:ind w:left="2880" w:hanging="360"/>
      </w:pPr>
      <w:rPr>
        <w:rFonts w:ascii="Wingdings" w:hAnsi="Wingdings" w:hint="default"/>
      </w:rPr>
    </w:lvl>
    <w:lvl w:ilvl="4" w:tplc="DE0AB494" w:tentative="1">
      <w:start w:val="1"/>
      <w:numFmt w:val="bullet"/>
      <w:lvlText w:val=""/>
      <w:lvlJc w:val="left"/>
      <w:pPr>
        <w:tabs>
          <w:tab w:val="num" w:pos="3600"/>
        </w:tabs>
        <w:ind w:left="3600" w:hanging="360"/>
      </w:pPr>
      <w:rPr>
        <w:rFonts w:ascii="Wingdings" w:hAnsi="Wingdings" w:hint="default"/>
      </w:rPr>
    </w:lvl>
    <w:lvl w:ilvl="5" w:tplc="46C6AF1E" w:tentative="1">
      <w:start w:val="1"/>
      <w:numFmt w:val="bullet"/>
      <w:lvlText w:val=""/>
      <w:lvlJc w:val="left"/>
      <w:pPr>
        <w:tabs>
          <w:tab w:val="num" w:pos="4320"/>
        </w:tabs>
        <w:ind w:left="4320" w:hanging="360"/>
      </w:pPr>
      <w:rPr>
        <w:rFonts w:ascii="Wingdings" w:hAnsi="Wingdings" w:hint="default"/>
      </w:rPr>
    </w:lvl>
    <w:lvl w:ilvl="6" w:tplc="B3DA1FBC" w:tentative="1">
      <w:start w:val="1"/>
      <w:numFmt w:val="bullet"/>
      <w:lvlText w:val=""/>
      <w:lvlJc w:val="left"/>
      <w:pPr>
        <w:tabs>
          <w:tab w:val="num" w:pos="5040"/>
        </w:tabs>
        <w:ind w:left="5040" w:hanging="360"/>
      </w:pPr>
      <w:rPr>
        <w:rFonts w:ascii="Wingdings" w:hAnsi="Wingdings" w:hint="default"/>
      </w:rPr>
    </w:lvl>
    <w:lvl w:ilvl="7" w:tplc="DEF60880" w:tentative="1">
      <w:start w:val="1"/>
      <w:numFmt w:val="bullet"/>
      <w:lvlText w:val=""/>
      <w:lvlJc w:val="left"/>
      <w:pPr>
        <w:tabs>
          <w:tab w:val="num" w:pos="5760"/>
        </w:tabs>
        <w:ind w:left="5760" w:hanging="360"/>
      </w:pPr>
      <w:rPr>
        <w:rFonts w:ascii="Wingdings" w:hAnsi="Wingdings" w:hint="default"/>
      </w:rPr>
    </w:lvl>
    <w:lvl w:ilvl="8" w:tplc="5C0E18F2" w:tentative="1">
      <w:start w:val="1"/>
      <w:numFmt w:val="bullet"/>
      <w:lvlText w:val=""/>
      <w:lvlJc w:val="left"/>
      <w:pPr>
        <w:tabs>
          <w:tab w:val="num" w:pos="6480"/>
        </w:tabs>
        <w:ind w:left="6480" w:hanging="360"/>
      </w:pPr>
      <w:rPr>
        <w:rFonts w:ascii="Wingdings" w:hAnsi="Wingdings" w:hint="default"/>
      </w:rPr>
    </w:lvl>
  </w:abstractNum>
  <w:abstractNum w:abstractNumId="17">
    <w:nsid w:val="3F1B3951"/>
    <w:multiLevelType w:val="hybridMultilevel"/>
    <w:tmpl w:val="0A0CEDD0"/>
    <w:lvl w:ilvl="0" w:tplc="E70E9370">
      <w:start w:val="847"/>
      <w:numFmt w:val="bullet"/>
      <w:lvlText w:val="–"/>
      <w:lvlJc w:val="left"/>
      <w:pPr>
        <w:ind w:left="720" w:hanging="360"/>
      </w:pPr>
      <w:rPr>
        <w:rFonts w:ascii="Arial" w:hAnsi="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B843BE"/>
    <w:multiLevelType w:val="hybridMultilevel"/>
    <w:tmpl w:val="F4CA9E38"/>
    <w:lvl w:ilvl="0" w:tplc="0408000B">
      <w:start w:val="1"/>
      <w:numFmt w:val="bullet"/>
      <w:lvlText w:val=""/>
      <w:lvlJc w:val="left"/>
      <w:pPr>
        <w:ind w:left="720" w:hanging="360"/>
      </w:pPr>
      <w:rPr>
        <w:rFonts w:ascii="Wingdings" w:hAnsi="Wingdings" w:hint="default"/>
        <w:b/>
      </w:rPr>
    </w:lvl>
    <w:lvl w:ilvl="1" w:tplc="E70E9370">
      <w:start w:val="847"/>
      <w:numFmt w:val="bullet"/>
      <w:lvlText w:val="–"/>
      <w:lvlJc w:val="left"/>
      <w:pPr>
        <w:ind w:left="1440" w:hanging="360"/>
      </w:pPr>
      <w:rPr>
        <w:rFonts w:ascii="Arial" w:hAnsi="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777B28"/>
    <w:multiLevelType w:val="hybridMultilevel"/>
    <w:tmpl w:val="18D4F558"/>
    <w:lvl w:ilvl="0" w:tplc="EA9AB6CE">
      <w:start w:val="1"/>
      <w:numFmt w:val="bullet"/>
      <w:lvlText w:val="•"/>
      <w:lvlJc w:val="left"/>
      <w:pPr>
        <w:tabs>
          <w:tab w:val="num" w:pos="720"/>
        </w:tabs>
        <w:ind w:left="720" w:hanging="360"/>
      </w:pPr>
      <w:rPr>
        <w:rFonts w:ascii="Arial" w:hAnsi="Arial" w:hint="default"/>
      </w:rPr>
    </w:lvl>
    <w:lvl w:ilvl="1" w:tplc="7E18CA3E" w:tentative="1">
      <w:start w:val="1"/>
      <w:numFmt w:val="bullet"/>
      <w:lvlText w:val="•"/>
      <w:lvlJc w:val="left"/>
      <w:pPr>
        <w:tabs>
          <w:tab w:val="num" w:pos="1440"/>
        </w:tabs>
        <w:ind w:left="1440" w:hanging="360"/>
      </w:pPr>
      <w:rPr>
        <w:rFonts w:ascii="Arial" w:hAnsi="Arial" w:hint="default"/>
      </w:rPr>
    </w:lvl>
    <w:lvl w:ilvl="2" w:tplc="4920B2EA" w:tentative="1">
      <w:start w:val="1"/>
      <w:numFmt w:val="bullet"/>
      <w:lvlText w:val="•"/>
      <w:lvlJc w:val="left"/>
      <w:pPr>
        <w:tabs>
          <w:tab w:val="num" w:pos="2160"/>
        </w:tabs>
        <w:ind w:left="2160" w:hanging="360"/>
      </w:pPr>
      <w:rPr>
        <w:rFonts w:ascii="Arial" w:hAnsi="Arial" w:hint="default"/>
      </w:rPr>
    </w:lvl>
    <w:lvl w:ilvl="3" w:tplc="55A0375E" w:tentative="1">
      <w:start w:val="1"/>
      <w:numFmt w:val="bullet"/>
      <w:lvlText w:val="•"/>
      <w:lvlJc w:val="left"/>
      <w:pPr>
        <w:tabs>
          <w:tab w:val="num" w:pos="2880"/>
        </w:tabs>
        <w:ind w:left="2880" w:hanging="360"/>
      </w:pPr>
      <w:rPr>
        <w:rFonts w:ascii="Arial" w:hAnsi="Arial" w:hint="default"/>
      </w:rPr>
    </w:lvl>
    <w:lvl w:ilvl="4" w:tplc="7534ED00" w:tentative="1">
      <w:start w:val="1"/>
      <w:numFmt w:val="bullet"/>
      <w:lvlText w:val="•"/>
      <w:lvlJc w:val="left"/>
      <w:pPr>
        <w:tabs>
          <w:tab w:val="num" w:pos="3600"/>
        </w:tabs>
        <w:ind w:left="3600" w:hanging="360"/>
      </w:pPr>
      <w:rPr>
        <w:rFonts w:ascii="Arial" w:hAnsi="Arial" w:hint="default"/>
      </w:rPr>
    </w:lvl>
    <w:lvl w:ilvl="5" w:tplc="A768ED4A" w:tentative="1">
      <w:start w:val="1"/>
      <w:numFmt w:val="bullet"/>
      <w:lvlText w:val="•"/>
      <w:lvlJc w:val="left"/>
      <w:pPr>
        <w:tabs>
          <w:tab w:val="num" w:pos="4320"/>
        </w:tabs>
        <w:ind w:left="4320" w:hanging="360"/>
      </w:pPr>
      <w:rPr>
        <w:rFonts w:ascii="Arial" w:hAnsi="Arial" w:hint="default"/>
      </w:rPr>
    </w:lvl>
    <w:lvl w:ilvl="6" w:tplc="B492D420" w:tentative="1">
      <w:start w:val="1"/>
      <w:numFmt w:val="bullet"/>
      <w:lvlText w:val="•"/>
      <w:lvlJc w:val="left"/>
      <w:pPr>
        <w:tabs>
          <w:tab w:val="num" w:pos="5040"/>
        </w:tabs>
        <w:ind w:left="5040" w:hanging="360"/>
      </w:pPr>
      <w:rPr>
        <w:rFonts w:ascii="Arial" w:hAnsi="Arial" w:hint="default"/>
      </w:rPr>
    </w:lvl>
    <w:lvl w:ilvl="7" w:tplc="4E964AA6" w:tentative="1">
      <w:start w:val="1"/>
      <w:numFmt w:val="bullet"/>
      <w:lvlText w:val="•"/>
      <w:lvlJc w:val="left"/>
      <w:pPr>
        <w:tabs>
          <w:tab w:val="num" w:pos="5760"/>
        </w:tabs>
        <w:ind w:left="5760" w:hanging="360"/>
      </w:pPr>
      <w:rPr>
        <w:rFonts w:ascii="Arial" w:hAnsi="Arial" w:hint="default"/>
      </w:rPr>
    </w:lvl>
    <w:lvl w:ilvl="8" w:tplc="4AD8926E" w:tentative="1">
      <w:start w:val="1"/>
      <w:numFmt w:val="bullet"/>
      <w:lvlText w:val="•"/>
      <w:lvlJc w:val="left"/>
      <w:pPr>
        <w:tabs>
          <w:tab w:val="num" w:pos="6480"/>
        </w:tabs>
        <w:ind w:left="6480" w:hanging="360"/>
      </w:pPr>
      <w:rPr>
        <w:rFonts w:ascii="Arial" w:hAnsi="Arial" w:hint="default"/>
      </w:rPr>
    </w:lvl>
  </w:abstractNum>
  <w:abstractNum w:abstractNumId="20">
    <w:nsid w:val="686C38A9"/>
    <w:multiLevelType w:val="hybridMultilevel"/>
    <w:tmpl w:val="4D24D888"/>
    <w:lvl w:ilvl="0" w:tplc="4986E802">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21">
    <w:nsid w:val="6B60073F"/>
    <w:multiLevelType w:val="hybridMultilevel"/>
    <w:tmpl w:val="5E4C0032"/>
    <w:lvl w:ilvl="0" w:tplc="E70E9370">
      <w:start w:val="847"/>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3A66ACC"/>
    <w:multiLevelType w:val="hybridMultilevel"/>
    <w:tmpl w:val="CA4A14FA"/>
    <w:lvl w:ilvl="0" w:tplc="E70E9370">
      <w:start w:val="847"/>
      <w:numFmt w:val="bullet"/>
      <w:lvlText w:val="–"/>
      <w:lvlJc w:val="left"/>
      <w:pPr>
        <w:ind w:left="720" w:hanging="360"/>
      </w:pPr>
      <w:rPr>
        <w:rFonts w:ascii="Arial" w:hAnsi="Arial" w:hint="default"/>
      </w:rPr>
    </w:lvl>
    <w:lvl w:ilvl="1" w:tplc="E70E9370">
      <w:start w:val="847"/>
      <w:numFmt w:val="bullet"/>
      <w:lvlText w:val="–"/>
      <w:lvlJc w:val="left"/>
      <w:pPr>
        <w:ind w:left="1440" w:hanging="360"/>
      </w:pPr>
      <w:rPr>
        <w:rFonts w:ascii="Arial"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1355A8"/>
    <w:multiLevelType w:val="hybridMultilevel"/>
    <w:tmpl w:val="BDBA4416"/>
    <w:lvl w:ilvl="0" w:tplc="E70E9370">
      <w:start w:val="847"/>
      <w:numFmt w:val="bullet"/>
      <w:lvlText w:val="–"/>
      <w:lvlJc w:val="left"/>
      <w:pPr>
        <w:ind w:left="770" w:hanging="360"/>
      </w:pPr>
      <w:rPr>
        <w:rFonts w:ascii="Arial" w:hAnsi="Aria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15"/>
  </w:num>
  <w:num w:numId="2">
    <w:abstractNumId w:val="1"/>
  </w:num>
  <w:num w:numId="3">
    <w:abstractNumId w:val="11"/>
  </w:num>
  <w:num w:numId="4">
    <w:abstractNumId w:val="9"/>
  </w:num>
  <w:num w:numId="5">
    <w:abstractNumId w:val="14"/>
  </w:num>
  <w:num w:numId="6">
    <w:abstractNumId w:val="10"/>
  </w:num>
  <w:num w:numId="7">
    <w:abstractNumId w:val="7"/>
  </w:num>
  <w:num w:numId="8">
    <w:abstractNumId w:val="12"/>
  </w:num>
  <w:num w:numId="9">
    <w:abstractNumId w:val="5"/>
  </w:num>
  <w:num w:numId="10">
    <w:abstractNumId w:val="3"/>
  </w:num>
  <w:num w:numId="11">
    <w:abstractNumId w:val="16"/>
  </w:num>
  <w:num w:numId="12">
    <w:abstractNumId w:val="13"/>
  </w:num>
  <w:num w:numId="13">
    <w:abstractNumId w:val="0"/>
  </w:num>
  <w:num w:numId="14">
    <w:abstractNumId w:val="4"/>
  </w:num>
  <w:num w:numId="15">
    <w:abstractNumId w:val="6"/>
  </w:num>
  <w:num w:numId="16">
    <w:abstractNumId w:val="19"/>
  </w:num>
  <w:num w:numId="17">
    <w:abstractNumId w:val="17"/>
  </w:num>
  <w:num w:numId="18">
    <w:abstractNumId w:val="18"/>
  </w:num>
  <w:num w:numId="19">
    <w:abstractNumId w:val="2"/>
  </w:num>
  <w:num w:numId="20">
    <w:abstractNumId w:val="22"/>
  </w:num>
  <w:num w:numId="21">
    <w:abstractNumId w:val="8"/>
  </w:num>
  <w:num w:numId="22">
    <w:abstractNumId w:val="23"/>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EA"/>
    <w:rsid w:val="000053EA"/>
    <w:rsid w:val="000071FF"/>
    <w:rsid w:val="0007592B"/>
    <w:rsid w:val="00092E7B"/>
    <w:rsid w:val="0009531C"/>
    <w:rsid w:val="000F447B"/>
    <w:rsid w:val="001003B3"/>
    <w:rsid w:val="001026DD"/>
    <w:rsid w:val="00105702"/>
    <w:rsid w:val="00144B9A"/>
    <w:rsid w:val="00176C1D"/>
    <w:rsid w:val="001809BE"/>
    <w:rsid w:val="0018229B"/>
    <w:rsid w:val="001B653B"/>
    <w:rsid w:val="001C7E71"/>
    <w:rsid w:val="001E520B"/>
    <w:rsid w:val="001F0C8A"/>
    <w:rsid w:val="0021513A"/>
    <w:rsid w:val="00220E33"/>
    <w:rsid w:val="00247212"/>
    <w:rsid w:val="002571F7"/>
    <w:rsid w:val="002578EB"/>
    <w:rsid w:val="00285531"/>
    <w:rsid w:val="002B2421"/>
    <w:rsid w:val="002F0125"/>
    <w:rsid w:val="002F2A47"/>
    <w:rsid w:val="0034310F"/>
    <w:rsid w:val="0035040E"/>
    <w:rsid w:val="0037711B"/>
    <w:rsid w:val="003B0771"/>
    <w:rsid w:val="003F520A"/>
    <w:rsid w:val="004B77D6"/>
    <w:rsid w:val="004D18BD"/>
    <w:rsid w:val="004D4702"/>
    <w:rsid w:val="0051769B"/>
    <w:rsid w:val="00534276"/>
    <w:rsid w:val="005B56E1"/>
    <w:rsid w:val="005E4B38"/>
    <w:rsid w:val="005F018B"/>
    <w:rsid w:val="00620464"/>
    <w:rsid w:val="0062279D"/>
    <w:rsid w:val="0064586C"/>
    <w:rsid w:val="0067775C"/>
    <w:rsid w:val="006A0BE7"/>
    <w:rsid w:val="006A7992"/>
    <w:rsid w:val="006B1010"/>
    <w:rsid w:val="006B17D1"/>
    <w:rsid w:val="006B5D17"/>
    <w:rsid w:val="00735AF2"/>
    <w:rsid w:val="00745E7E"/>
    <w:rsid w:val="007911DB"/>
    <w:rsid w:val="00834582"/>
    <w:rsid w:val="0084245E"/>
    <w:rsid w:val="00857A57"/>
    <w:rsid w:val="008837AE"/>
    <w:rsid w:val="0089178B"/>
    <w:rsid w:val="008C71F7"/>
    <w:rsid w:val="0090425D"/>
    <w:rsid w:val="009048FA"/>
    <w:rsid w:val="00915C89"/>
    <w:rsid w:val="009256C2"/>
    <w:rsid w:val="009A1DCF"/>
    <w:rsid w:val="009C2989"/>
    <w:rsid w:val="009C5F86"/>
    <w:rsid w:val="009D10C3"/>
    <w:rsid w:val="00A06E3C"/>
    <w:rsid w:val="00A3196D"/>
    <w:rsid w:val="00A42026"/>
    <w:rsid w:val="00A84125"/>
    <w:rsid w:val="00A96A26"/>
    <w:rsid w:val="00AC3579"/>
    <w:rsid w:val="00AC55AD"/>
    <w:rsid w:val="00AE53C6"/>
    <w:rsid w:val="00B04E30"/>
    <w:rsid w:val="00B21215"/>
    <w:rsid w:val="00B27ACA"/>
    <w:rsid w:val="00B27DE4"/>
    <w:rsid w:val="00B37208"/>
    <w:rsid w:val="00B4553C"/>
    <w:rsid w:val="00B5360B"/>
    <w:rsid w:val="00B62FE6"/>
    <w:rsid w:val="00B75CC7"/>
    <w:rsid w:val="00B81143"/>
    <w:rsid w:val="00BE030B"/>
    <w:rsid w:val="00BE1D4A"/>
    <w:rsid w:val="00BE31FE"/>
    <w:rsid w:val="00BE4572"/>
    <w:rsid w:val="00BF3EE9"/>
    <w:rsid w:val="00C11626"/>
    <w:rsid w:val="00C61EE2"/>
    <w:rsid w:val="00C6252A"/>
    <w:rsid w:val="00C6348E"/>
    <w:rsid w:val="00C67CEA"/>
    <w:rsid w:val="00C70642"/>
    <w:rsid w:val="00C9205A"/>
    <w:rsid w:val="00C92345"/>
    <w:rsid w:val="00CE7C4E"/>
    <w:rsid w:val="00CF1EF6"/>
    <w:rsid w:val="00D034CC"/>
    <w:rsid w:val="00D0423E"/>
    <w:rsid w:val="00D04B8A"/>
    <w:rsid w:val="00D26E47"/>
    <w:rsid w:val="00D404B7"/>
    <w:rsid w:val="00D8363B"/>
    <w:rsid w:val="00DA64EC"/>
    <w:rsid w:val="00DC1F41"/>
    <w:rsid w:val="00DF4238"/>
    <w:rsid w:val="00DF56D2"/>
    <w:rsid w:val="00E008F2"/>
    <w:rsid w:val="00E11AD9"/>
    <w:rsid w:val="00E1325A"/>
    <w:rsid w:val="00E210DB"/>
    <w:rsid w:val="00E41D68"/>
    <w:rsid w:val="00E45FA8"/>
    <w:rsid w:val="00ED6930"/>
    <w:rsid w:val="00EF01CE"/>
    <w:rsid w:val="00F1441F"/>
    <w:rsid w:val="00F91353"/>
    <w:rsid w:val="00F94990"/>
    <w:rsid w:val="00FB70D5"/>
    <w:rsid w:val="00FD03B5"/>
    <w:rsid w:val="00FD414D"/>
    <w:rsid w:val="00FF43F1"/>
    <w:rsid w:val="00FF51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04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0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91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05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
    <w:name w:val="Τίτλος Char"/>
    <w:basedOn w:val="a0"/>
    <w:link w:val="a3"/>
    <w:uiPriority w:val="10"/>
    <w:rsid w:val="00105702"/>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Subtitle"/>
    <w:basedOn w:val="a"/>
    <w:next w:val="a"/>
    <w:link w:val="Char0"/>
    <w:uiPriority w:val="11"/>
    <w:qFormat/>
    <w:rsid w:val="00105702"/>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0">
    <w:name w:val="Υπότιτλος Char"/>
    <w:basedOn w:val="a0"/>
    <w:link w:val="a4"/>
    <w:uiPriority w:val="11"/>
    <w:rsid w:val="00105702"/>
    <w:rPr>
      <w:rFonts w:asciiTheme="majorHAnsi" w:eastAsiaTheme="majorEastAsia" w:hAnsiTheme="majorHAnsi" w:cstheme="majorBidi"/>
      <w:i/>
      <w:iCs/>
      <w:color w:val="4F81BD" w:themeColor="accent1"/>
      <w:spacing w:val="15"/>
      <w:sz w:val="24"/>
      <w:szCs w:val="24"/>
      <w:lang w:eastAsia="el-GR"/>
    </w:rPr>
  </w:style>
  <w:style w:type="paragraph" w:styleId="a5">
    <w:name w:val="Balloon Text"/>
    <w:basedOn w:val="a"/>
    <w:link w:val="Char1"/>
    <w:uiPriority w:val="99"/>
    <w:semiHidden/>
    <w:unhideWhenUsed/>
    <w:rsid w:val="001057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05702"/>
    <w:rPr>
      <w:rFonts w:ascii="Tahoma" w:hAnsi="Tahoma" w:cs="Tahoma"/>
      <w:sz w:val="16"/>
      <w:szCs w:val="16"/>
    </w:rPr>
  </w:style>
  <w:style w:type="paragraph" w:styleId="a6">
    <w:name w:val="No Spacing"/>
    <w:link w:val="Char2"/>
    <w:uiPriority w:val="1"/>
    <w:qFormat/>
    <w:rsid w:val="00105702"/>
    <w:pPr>
      <w:spacing w:after="0" w:line="240" w:lineRule="auto"/>
    </w:pPr>
    <w:rPr>
      <w:rFonts w:eastAsiaTheme="minorEastAsia"/>
      <w:lang w:eastAsia="el-GR"/>
    </w:rPr>
  </w:style>
  <w:style w:type="character" w:customStyle="1" w:styleId="Char2">
    <w:name w:val="Χωρίς διάστιχο Char"/>
    <w:basedOn w:val="a0"/>
    <w:link w:val="a6"/>
    <w:uiPriority w:val="1"/>
    <w:rsid w:val="00105702"/>
    <w:rPr>
      <w:rFonts w:eastAsiaTheme="minorEastAsia"/>
      <w:lang w:eastAsia="el-GR"/>
    </w:rPr>
  </w:style>
  <w:style w:type="character" w:customStyle="1" w:styleId="1Char">
    <w:name w:val="Επικεφαλίδα 1 Char"/>
    <w:basedOn w:val="a0"/>
    <w:link w:val="1"/>
    <w:uiPriority w:val="9"/>
    <w:rsid w:val="00D0423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0423E"/>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D0423E"/>
    <w:pPr>
      <w:outlineLvl w:val="9"/>
    </w:pPr>
    <w:rPr>
      <w:lang w:eastAsia="el-GR"/>
    </w:rPr>
  </w:style>
  <w:style w:type="paragraph" w:styleId="10">
    <w:name w:val="toc 1"/>
    <w:basedOn w:val="a"/>
    <w:next w:val="a"/>
    <w:autoRedefine/>
    <w:uiPriority w:val="39"/>
    <w:unhideWhenUsed/>
    <w:rsid w:val="00D0423E"/>
    <w:pPr>
      <w:spacing w:after="100"/>
    </w:pPr>
  </w:style>
  <w:style w:type="paragraph" w:styleId="20">
    <w:name w:val="toc 2"/>
    <w:basedOn w:val="a"/>
    <w:next w:val="a"/>
    <w:autoRedefine/>
    <w:uiPriority w:val="39"/>
    <w:unhideWhenUsed/>
    <w:rsid w:val="006B5D17"/>
    <w:pPr>
      <w:tabs>
        <w:tab w:val="right" w:leader="dot" w:pos="9736"/>
      </w:tabs>
      <w:spacing w:after="100"/>
      <w:ind w:left="220"/>
    </w:pPr>
  </w:style>
  <w:style w:type="character" w:styleId="-">
    <w:name w:val="Hyperlink"/>
    <w:basedOn w:val="a0"/>
    <w:uiPriority w:val="99"/>
    <w:unhideWhenUsed/>
    <w:rsid w:val="00D0423E"/>
    <w:rPr>
      <w:color w:val="0000FF" w:themeColor="hyperlink"/>
      <w:u w:val="single"/>
    </w:rPr>
  </w:style>
  <w:style w:type="paragraph" w:styleId="a8">
    <w:name w:val="footnote text"/>
    <w:basedOn w:val="a"/>
    <w:link w:val="Char3"/>
    <w:uiPriority w:val="99"/>
    <w:semiHidden/>
    <w:unhideWhenUsed/>
    <w:rsid w:val="00FD414D"/>
    <w:pPr>
      <w:spacing w:after="0" w:line="240" w:lineRule="auto"/>
    </w:pPr>
    <w:rPr>
      <w:sz w:val="20"/>
      <w:szCs w:val="20"/>
    </w:rPr>
  </w:style>
  <w:style w:type="character" w:customStyle="1" w:styleId="Char3">
    <w:name w:val="Κείμενο υποσημείωσης Char"/>
    <w:basedOn w:val="a0"/>
    <w:link w:val="a8"/>
    <w:uiPriority w:val="99"/>
    <w:semiHidden/>
    <w:rsid w:val="00FD414D"/>
    <w:rPr>
      <w:sz w:val="20"/>
      <w:szCs w:val="20"/>
    </w:rPr>
  </w:style>
  <w:style w:type="character" w:styleId="a9">
    <w:name w:val="footnote reference"/>
    <w:basedOn w:val="a0"/>
    <w:uiPriority w:val="99"/>
    <w:semiHidden/>
    <w:unhideWhenUsed/>
    <w:rsid w:val="00FD414D"/>
    <w:rPr>
      <w:vertAlign w:val="superscript"/>
    </w:rPr>
  </w:style>
  <w:style w:type="paragraph" w:styleId="aa">
    <w:name w:val="List Paragraph"/>
    <w:basedOn w:val="a"/>
    <w:uiPriority w:val="34"/>
    <w:qFormat/>
    <w:rsid w:val="00BF3EE9"/>
    <w:pPr>
      <w:ind w:left="720"/>
      <w:contextualSpacing/>
    </w:pPr>
  </w:style>
  <w:style w:type="table" w:styleId="ab">
    <w:name w:val="Table Grid"/>
    <w:basedOn w:val="a1"/>
    <w:uiPriority w:val="59"/>
    <w:rsid w:val="00F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D404B7"/>
    <w:pPr>
      <w:spacing w:line="240" w:lineRule="auto"/>
    </w:pPr>
    <w:rPr>
      <w:b/>
      <w:bCs/>
      <w:color w:val="4F81BD" w:themeColor="accent1"/>
      <w:sz w:val="18"/>
      <w:szCs w:val="18"/>
    </w:rPr>
  </w:style>
  <w:style w:type="character" w:styleId="-0">
    <w:name w:val="FollowedHyperlink"/>
    <w:basedOn w:val="a0"/>
    <w:uiPriority w:val="99"/>
    <w:semiHidden/>
    <w:unhideWhenUsed/>
    <w:rsid w:val="006B1010"/>
    <w:rPr>
      <w:color w:val="800080" w:themeColor="followedHyperlink"/>
      <w:u w:val="single"/>
    </w:rPr>
  </w:style>
  <w:style w:type="character" w:styleId="ad">
    <w:name w:val="Strong"/>
    <w:basedOn w:val="a0"/>
    <w:uiPriority w:val="22"/>
    <w:qFormat/>
    <w:rsid w:val="005B56E1"/>
    <w:rPr>
      <w:b/>
      <w:bCs/>
    </w:rPr>
  </w:style>
  <w:style w:type="paragraph" w:styleId="-HTML">
    <w:name w:val="HTML Preformatted"/>
    <w:basedOn w:val="a"/>
    <w:link w:val="-HTMLChar"/>
    <w:uiPriority w:val="99"/>
    <w:semiHidden/>
    <w:unhideWhenUsed/>
    <w:rsid w:val="009A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A1DCF"/>
    <w:rPr>
      <w:rFonts w:ascii="Courier New" w:eastAsia="Times New Roman" w:hAnsi="Courier New" w:cs="Courier New"/>
      <w:sz w:val="20"/>
      <w:szCs w:val="20"/>
      <w:lang w:eastAsia="el-GR"/>
    </w:rPr>
  </w:style>
  <w:style w:type="paragraph" w:styleId="ae">
    <w:name w:val="header"/>
    <w:basedOn w:val="a"/>
    <w:link w:val="Char4"/>
    <w:uiPriority w:val="99"/>
    <w:unhideWhenUsed/>
    <w:rsid w:val="007911DB"/>
    <w:pPr>
      <w:tabs>
        <w:tab w:val="center" w:pos="4153"/>
        <w:tab w:val="right" w:pos="8306"/>
      </w:tabs>
      <w:spacing w:after="0" w:line="240" w:lineRule="auto"/>
    </w:pPr>
  </w:style>
  <w:style w:type="character" w:customStyle="1" w:styleId="Char4">
    <w:name w:val="Κεφαλίδα Char"/>
    <w:basedOn w:val="a0"/>
    <w:link w:val="ae"/>
    <w:uiPriority w:val="99"/>
    <w:rsid w:val="007911DB"/>
  </w:style>
  <w:style w:type="paragraph" w:styleId="af">
    <w:name w:val="footer"/>
    <w:basedOn w:val="a"/>
    <w:link w:val="Char5"/>
    <w:uiPriority w:val="99"/>
    <w:unhideWhenUsed/>
    <w:rsid w:val="007911DB"/>
    <w:pPr>
      <w:tabs>
        <w:tab w:val="center" w:pos="4153"/>
        <w:tab w:val="right" w:pos="8306"/>
      </w:tabs>
      <w:spacing w:after="0" w:line="240" w:lineRule="auto"/>
    </w:pPr>
  </w:style>
  <w:style w:type="character" w:customStyle="1" w:styleId="Char5">
    <w:name w:val="Υποσέλιδο Char"/>
    <w:basedOn w:val="a0"/>
    <w:link w:val="af"/>
    <w:uiPriority w:val="99"/>
    <w:rsid w:val="007911DB"/>
  </w:style>
  <w:style w:type="character" w:customStyle="1" w:styleId="3Char">
    <w:name w:val="Επικεφαλίδα 3 Char"/>
    <w:basedOn w:val="a0"/>
    <w:link w:val="3"/>
    <w:uiPriority w:val="9"/>
    <w:rsid w:val="007911DB"/>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7911DB"/>
    <w:pPr>
      <w:spacing w:after="100"/>
      <w:ind w:left="440"/>
    </w:pPr>
  </w:style>
  <w:style w:type="paragraph" w:customStyle="1" w:styleId="Default">
    <w:name w:val="Default"/>
    <w:rsid w:val="00092E7B"/>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04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04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91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057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
    <w:name w:val="Τίτλος Char"/>
    <w:basedOn w:val="a0"/>
    <w:link w:val="a3"/>
    <w:uiPriority w:val="10"/>
    <w:rsid w:val="00105702"/>
    <w:rPr>
      <w:rFonts w:asciiTheme="majorHAnsi" w:eastAsiaTheme="majorEastAsia" w:hAnsiTheme="majorHAnsi" w:cstheme="majorBidi"/>
      <w:color w:val="17365D" w:themeColor="text2" w:themeShade="BF"/>
      <w:spacing w:val="5"/>
      <w:kern w:val="28"/>
      <w:sz w:val="52"/>
      <w:szCs w:val="52"/>
      <w:lang w:eastAsia="el-GR"/>
    </w:rPr>
  </w:style>
  <w:style w:type="paragraph" w:styleId="a4">
    <w:name w:val="Subtitle"/>
    <w:basedOn w:val="a"/>
    <w:next w:val="a"/>
    <w:link w:val="Char0"/>
    <w:uiPriority w:val="11"/>
    <w:qFormat/>
    <w:rsid w:val="00105702"/>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0">
    <w:name w:val="Υπότιτλος Char"/>
    <w:basedOn w:val="a0"/>
    <w:link w:val="a4"/>
    <w:uiPriority w:val="11"/>
    <w:rsid w:val="00105702"/>
    <w:rPr>
      <w:rFonts w:asciiTheme="majorHAnsi" w:eastAsiaTheme="majorEastAsia" w:hAnsiTheme="majorHAnsi" w:cstheme="majorBidi"/>
      <w:i/>
      <w:iCs/>
      <w:color w:val="4F81BD" w:themeColor="accent1"/>
      <w:spacing w:val="15"/>
      <w:sz w:val="24"/>
      <w:szCs w:val="24"/>
      <w:lang w:eastAsia="el-GR"/>
    </w:rPr>
  </w:style>
  <w:style w:type="paragraph" w:styleId="a5">
    <w:name w:val="Balloon Text"/>
    <w:basedOn w:val="a"/>
    <w:link w:val="Char1"/>
    <w:uiPriority w:val="99"/>
    <w:semiHidden/>
    <w:unhideWhenUsed/>
    <w:rsid w:val="001057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05702"/>
    <w:rPr>
      <w:rFonts w:ascii="Tahoma" w:hAnsi="Tahoma" w:cs="Tahoma"/>
      <w:sz w:val="16"/>
      <w:szCs w:val="16"/>
    </w:rPr>
  </w:style>
  <w:style w:type="paragraph" w:styleId="a6">
    <w:name w:val="No Spacing"/>
    <w:link w:val="Char2"/>
    <w:uiPriority w:val="1"/>
    <w:qFormat/>
    <w:rsid w:val="00105702"/>
    <w:pPr>
      <w:spacing w:after="0" w:line="240" w:lineRule="auto"/>
    </w:pPr>
    <w:rPr>
      <w:rFonts w:eastAsiaTheme="minorEastAsia"/>
      <w:lang w:eastAsia="el-GR"/>
    </w:rPr>
  </w:style>
  <w:style w:type="character" w:customStyle="1" w:styleId="Char2">
    <w:name w:val="Χωρίς διάστιχο Char"/>
    <w:basedOn w:val="a0"/>
    <w:link w:val="a6"/>
    <w:uiPriority w:val="1"/>
    <w:rsid w:val="00105702"/>
    <w:rPr>
      <w:rFonts w:eastAsiaTheme="minorEastAsia"/>
      <w:lang w:eastAsia="el-GR"/>
    </w:rPr>
  </w:style>
  <w:style w:type="character" w:customStyle="1" w:styleId="1Char">
    <w:name w:val="Επικεφαλίδα 1 Char"/>
    <w:basedOn w:val="a0"/>
    <w:link w:val="1"/>
    <w:uiPriority w:val="9"/>
    <w:rsid w:val="00D0423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0423E"/>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D0423E"/>
    <w:pPr>
      <w:outlineLvl w:val="9"/>
    </w:pPr>
    <w:rPr>
      <w:lang w:eastAsia="el-GR"/>
    </w:rPr>
  </w:style>
  <w:style w:type="paragraph" w:styleId="10">
    <w:name w:val="toc 1"/>
    <w:basedOn w:val="a"/>
    <w:next w:val="a"/>
    <w:autoRedefine/>
    <w:uiPriority w:val="39"/>
    <w:unhideWhenUsed/>
    <w:rsid w:val="00D0423E"/>
    <w:pPr>
      <w:spacing w:after="100"/>
    </w:pPr>
  </w:style>
  <w:style w:type="paragraph" w:styleId="20">
    <w:name w:val="toc 2"/>
    <w:basedOn w:val="a"/>
    <w:next w:val="a"/>
    <w:autoRedefine/>
    <w:uiPriority w:val="39"/>
    <w:unhideWhenUsed/>
    <w:rsid w:val="006B5D17"/>
    <w:pPr>
      <w:tabs>
        <w:tab w:val="right" w:leader="dot" w:pos="9736"/>
      </w:tabs>
      <w:spacing w:after="100"/>
      <w:ind w:left="220"/>
    </w:pPr>
  </w:style>
  <w:style w:type="character" w:styleId="-">
    <w:name w:val="Hyperlink"/>
    <w:basedOn w:val="a0"/>
    <w:uiPriority w:val="99"/>
    <w:unhideWhenUsed/>
    <w:rsid w:val="00D0423E"/>
    <w:rPr>
      <w:color w:val="0000FF" w:themeColor="hyperlink"/>
      <w:u w:val="single"/>
    </w:rPr>
  </w:style>
  <w:style w:type="paragraph" w:styleId="a8">
    <w:name w:val="footnote text"/>
    <w:basedOn w:val="a"/>
    <w:link w:val="Char3"/>
    <w:uiPriority w:val="99"/>
    <w:semiHidden/>
    <w:unhideWhenUsed/>
    <w:rsid w:val="00FD414D"/>
    <w:pPr>
      <w:spacing w:after="0" w:line="240" w:lineRule="auto"/>
    </w:pPr>
    <w:rPr>
      <w:sz w:val="20"/>
      <w:szCs w:val="20"/>
    </w:rPr>
  </w:style>
  <w:style w:type="character" w:customStyle="1" w:styleId="Char3">
    <w:name w:val="Κείμενο υποσημείωσης Char"/>
    <w:basedOn w:val="a0"/>
    <w:link w:val="a8"/>
    <w:uiPriority w:val="99"/>
    <w:semiHidden/>
    <w:rsid w:val="00FD414D"/>
    <w:rPr>
      <w:sz w:val="20"/>
      <w:szCs w:val="20"/>
    </w:rPr>
  </w:style>
  <w:style w:type="character" w:styleId="a9">
    <w:name w:val="footnote reference"/>
    <w:basedOn w:val="a0"/>
    <w:uiPriority w:val="99"/>
    <w:semiHidden/>
    <w:unhideWhenUsed/>
    <w:rsid w:val="00FD414D"/>
    <w:rPr>
      <w:vertAlign w:val="superscript"/>
    </w:rPr>
  </w:style>
  <w:style w:type="paragraph" w:styleId="aa">
    <w:name w:val="List Paragraph"/>
    <w:basedOn w:val="a"/>
    <w:uiPriority w:val="34"/>
    <w:qFormat/>
    <w:rsid w:val="00BF3EE9"/>
    <w:pPr>
      <w:ind w:left="720"/>
      <w:contextualSpacing/>
    </w:pPr>
  </w:style>
  <w:style w:type="table" w:styleId="ab">
    <w:name w:val="Table Grid"/>
    <w:basedOn w:val="a1"/>
    <w:uiPriority w:val="59"/>
    <w:rsid w:val="00F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D404B7"/>
    <w:pPr>
      <w:spacing w:line="240" w:lineRule="auto"/>
    </w:pPr>
    <w:rPr>
      <w:b/>
      <w:bCs/>
      <w:color w:val="4F81BD" w:themeColor="accent1"/>
      <w:sz w:val="18"/>
      <w:szCs w:val="18"/>
    </w:rPr>
  </w:style>
  <w:style w:type="character" w:styleId="-0">
    <w:name w:val="FollowedHyperlink"/>
    <w:basedOn w:val="a0"/>
    <w:uiPriority w:val="99"/>
    <w:semiHidden/>
    <w:unhideWhenUsed/>
    <w:rsid w:val="006B1010"/>
    <w:rPr>
      <w:color w:val="800080" w:themeColor="followedHyperlink"/>
      <w:u w:val="single"/>
    </w:rPr>
  </w:style>
  <w:style w:type="character" w:styleId="ad">
    <w:name w:val="Strong"/>
    <w:basedOn w:val="a0"/>
    <w:uiPriority w:val="22"/>
    <w:qFormat/>
    <w:rsid w:val="005B56E1"/>
    <w:rPr>
      <w:b/>
      <w:bCs/>
    </w:rPr>
  </w:style>
  <w:style w:type="paragraph" w:styleId="-HTML">
    <w:name w:val="HTML Preformatted"/>
    <w:basedOn w:val="a"/>
    <w:link w:val="-HTMLChar"/>
    <w:uiPriority w:val="99"/>
    <w:semiHidden/>
    <w:unhideWhenUsed/>
    <w:rsid w:val="009A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A1DCF"/>
    <w:rPr>
      <w:rFonts w:ascii="Courier New" w:eastAsia="Times New Roman" w:hAnsi="Courier New" w:cs="Courier New"/>
      <w:sz w:val="20"/>
      <w:szCs w:val="20"/>
      <w:lang w:eastAsia="el-GR"/>
    </w:rPr>
  </w:style>
  <w:style w:type="paragraph" w:styleId="ae">
    <w:name w:val="header"/>
    <w:basedOn w:val="a"/>
    <w:link w:val="Char4"/>
    <w:uiPriority w:val="99"/>
    <w:unhideWhenUsed/>
    <w:rsid w:val="007911DB"/>
    <w:pPr>
      <w:tabs>
        <w:tab w:val="center" w:pos="4153"/>
        <w:tab w:val="right" w:pos="8306"/>
      </w:tabs>
      <w:spacing w:after="0" w:line="240" w:lineRule="auto"/>
    </w:pPr>
  </w:style>
  <w:style w:type="character" w:customStyle="1" w:styleId="Char4">
    <w:name w:val="Κεφαλίδα Char"/>
    <w:basedOn w:val="a0"/>
    <w:link w:val="ae"/>
    <w:uiPriority w:val="99"/>
    <w:rsid w:val="007911DB"/>
  </w:style>
  <w:style w:type="paragraph" w:styleId="af">
    <w:name w:val="footer"/>
    <w:basedOn w:val="a"/>
    <w:link w:val="Char5"/>
    <w:uiPriority w:val="99"/>
    <w:unhideWhenUsed/>
    <w:rsid w:val="007911DB"/>
    <w:pPr>
      <w:tabs>
        <w:tab w:val="center" w:pos="4153"/>
        <w:tab w:val="right" w:pos="8306"/>
      </w:tabs>
      <w:spacing w:after="0" w:line="240" w:lineRule="auto"/>
    </w:pPr>
  </w:style>
  <w:style w:type="character" w:customStyle="1" w:styleId="Char5">
    <w:name w:val="Υποσέλιδο Char"/>
    <w:basedOn w:val="a0"/>
    <w:link w:val="af"/>
    <w:uiPriority w:val="99"/>
    <w:rsid w:val="007911DB"/>
  </w:style>
  <w:style w:type="character" w:customStyle="1" w:styleId="3Char">
    <w:name w:val="Επικεφαλίδα 3 Char"/>
    <w:basedOn w:val="a0"/>
    <w:link w:val="3"/>
    <w:uiPriority w:val="9"/>
    <w:rsid w:val="007911DB"/>
    <w:rPr>
      <w:rFonts w:asciiTheme="majorHAnsi" w:eastAsiaTheme="majorEastAsia" w:hAnsiTheme="majorHAnsi" w:cstheme="majorBidi"/>
      <w:b/>
      <w:bCs/>
      <w:color w:val="4F81BD" w:themeColor="accent1"/>
    </w:rPr>
  </w:style>
  <w:style w:type="paragraph" w:styleId="30">
    <w:name w:val="toc 3"/>
    <w:basedOn w:val="a"/>
    <w:next w:val="a"/>
    <w:autoRedefine/>
    <w:uiPriority w:val="39"/>
    <w:unhideWhenUsed/>
    <w:rsid w:val="007911DB"/>
    <w:pPr>
      <w:spacing w:after="100"/>
      <w:ind w:left="440"/>
    </w:pPr>
  </w:style>
  <w:style w:type="paragraph" w:customStyle="1" w:styleId="Default">
    <w:name w:val="Default"/>
    <w:rsid w:val="00092E7B"/>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4029">
      <w:bodyDiv w:val="1"/>
      <w:marLeft w:val="0"/>
      <w:marRight w:val="0"/>
      <w:marTop w:val="0"/>
      <w:marBottom w:val="0"/>
      <w:divBdr>
        <w:top w:val="none" w:sz="0" w:space="0" w:color="auto"/>
        <w:left w:val="none" w:sz="0" w:space="0" w:color="auto"/>
        <w:bottom w:val="none" w:sz="0" w:space="0" w:color="auto"/>
        <w:right w:val="none" w:sz="0" w:space="0" w:color="auto"/>
      </w:divBdr>
    </w:div>
    <w:div w:id="934634599">
      <w:bodyDiv w:val="1"/>
      <w:marLeft w:val="0"/>
      <w:marRight w:val="0"/>
      <w:marTop w:val="0"/>
      <w:marBottom w:val="0"/>
      <w:divBdr>
        <w:top w:val="none" w:sz="0" w:space="0" w:color="auto"/>
        <w:left w:val="none" w:sz="0" w:space="0" w:color="auto"/>
        <w:bottom w:val="none" w:sz="0" w:space="0" w:color="auto"/>
        <w:right w:val="none" w:sz="0" w:space="0" w:color="auto"/>
      </w:divBdr>
      <w:divsChild>
        <w:div w:id="382992911">
          <w:marLeft w:val="547"/>
          <w:marRight w:val="0"/>
          <w:marTop w:val="134"/>
          <w:marBottom w:val="0"/>
          <w:divBdr>
            <w:top w:val="none" w:sz="0" w:space="0" w:color="auto"/>
            <w:left w:val="none" w:sz="0" w:space="0" w:color="auto"/>
            <w:bottom w:val="none" w:sz="0" w:space="0" w:color="auto"/>
            <w:right w:val="none" w:sz="0" w:space="0" w:color="auto"/>
          </w:divBdr>
        </w:div>
        <w:div w:id="597755003">
          <w:marLeft w:val="547"/>
          <w:marRight w:val="0"/>
          <w:marTop w:val="134"/>
          <w:marBottom w:val="0"/>
          <w:divBdr>
            <w:top w:val="none" w:sz="0" w:space="0" w:color="auto"/>
            <w:left w:val="none" w:sz="0" w:space="0" w:color="auto"/>
            <w:bottom w:val="none" w:sz="0" w:space="0" w:color="auto"/>
            <w:right w:val="none" w:sz="0" w:space="0" w:color="auto"/>
          </w:divBdr>
        </w:div>
        <w:div w:id="368144917">
          <w:marLeft w:val="547"/>
          <w:marRight w:val="0"/>
          <w:marTop w:val="134"/>
          <w:marBottom w:val="0"/>
          <w:divBdr>
            <w:top w:val="none" w:sz="0" w:space="0" w:color="auto"/>
            <w:left w:val="none" w:sz="0" w:space="0" w:color="auto"/>
            <w:bottom w:val="none" w:sz="0" w:space="0" w:color="auto"/>
            <w:right w:val="none" w:sz="0" w:space="0" w:color="auto"/>
          </w:divBdr>
        </w:div>
        <w:div w:id="1969579258">
          <w:marLeft w:val="547"/>
          <w:marRight w:val="0"/>
          <w:marTop w:val="134"/>
          <w:marBottom w:val="0"/>
          <w:divBdr>
            <w:top w:val="none" w:sz="0" w:space="0" w:color="auto"/>
            <w:left w:val="none" w:sz="0" w:space="0" w:color="auto"/>
            <w:bottom w:val="none" w:sz="0" w:space="0" w:color="auto"/>
            <w:right w:val="none" w:sz="0" w:space="0" w:color="auto"/>
          </w:divBdr>
        </w:div>
        <w:div w:id="1884170194">
          <w:marLeft w:val="547"/>
          <w:marRight w:val="0"/>
          <w:marTop w:val="134"/>
          <w:marBottom w:val="0"/>
          <w:divBdr>
            <w:top w:val="none" w:sz="0" w:space="0" w:color="auto"/>
            <w:left w:val="none" w:sz="0" w:space="0" w:color="auto"/>
            <w:bottom w:val="none" w:sz="0" w:space="0" w:color="auto"/>
            <w:right w:val="none" w:sz="0" w:space="0" w:color="auto"/>
          </w:divBdr>
        </w:div>
      </w:divsChild>
    </w:div>
    <w:div w:id="955795466">
      <w:bodyDiv w:val="1"/>
      <w:marLeft w:val="0"/>
      <w:marRight w:val="0"/>
      <w:marTop w:val="0"/>
      <w:marBottom w:val="0"/>
      <w:divBdr>
        <w:top w:val="none" w:sz="0" w:space="0" w:color="auto"/>
        <w:left w:val="none" w:sz="0" w:space="0" w:color="auto"/>
        <w:bottom w:val="none" w:sz="0" w:space="0" w:color="auto"/>
        <w:right w:val="none" w:sz="0" w:space="0" w:color="auto"/>
      </w:divBdr>
      <w:divsChild>
        <w:div w:id="543173853">
          <w:marLeft w:val="1166"/>
          <w:marRight w:val="0"/>
          <w:marTop w:val="115"/>
          <w:marBottom w:val="0"/>
          <w:divBdr>
            <w:top w:val="none" w:sz="0" w:space="0" w:color="auto"/>
            <w:left w:val="none" w:sz="0" w:space="0" w:color="auto"/>
            <w:bottom w:val="none" w:sz="0" w:space="0" w:color="auto"/>
            <w:right w:val="none" w:sz="0" w:space="0" w:color="auto"/>
          </w:divBdr>
        </w:div>
      </w:divsChild>
    </w:div>
    <w:div w:id="1053045855">
      <w:bodyDiv w:val="1"/>
      <w:marLeft w:val="0"/>
      <w:marRight w:val="0"/>
      <w:marTop w:val="0"/>
      <w:marBottom w:val="0"/>
      <w:divBdr>
        <w:top w:val="none" w:sz="0" w:space="0" w:color="auto"/>
        <w:left w:val="none" w:sz="0" w:space="0" w:color="auto"/>
        <w:bottom w:val="none" w:sz="0" w:space="0" w:color="auto"/>
        <w:right w:val="none" w:sz="0" w:space="0" w:color="auto"/>
      </w:divBdr>
      <w:divsChild>
        <w:div w:id="1526677790">
          <w:marLeft w:val="547"/>
          <w:marRight w:val="0"/>
          <w:marTop w:val="134"/>
          <w:marBottom w:val="0"/>
          <w:divBdr>
            <w:top w:val="none" w:sz="0" w:space="0" w:color="auto"/>
            <w:left w:val="none" w:sz="0" w:space="0" w:color="auto"/>
            <w:bottom w:val="none" w:sz="0" w:space="0" w:color="auto"/>
            <w:right w:val="none" w:sz="0" w:space="0" w:color="auto"/>
          </w:divBdr>
        </w:div>
        <w:div w:id="1255626094">
          <w:marLeft w:val="1166"/>
          <w:marRight w:val="0"/>
          <w:marTop w:val="115"/>
          <w:marBottom w:val="0"/>
          <w:divBdr>
            <w:top w:val="none" w:sz="0" w:space="0" w:color="auto"/>
            <w:left w:val="none" w:sz="0" w:space="0" w:color="auto"/>
            <w:bottom w:val="none" w:sz="0" w:space="0" w:color="auto"/>
            <w:right w:val="none" w:sz="0" w:space="0" w:color="auto"/>
          </w:divBdr>
        </w:div>
        <w:div w:id="2069647494">
          <w:marLeft w:val="1166"/>
          <w:marRight w:val="0"/>
          <w:marTop w:val="115"/>
          <w:marBottom w:val="0"/>
          <w:divBdr>
            <w:top w:val="none" w:sz="0" w:space="0" w:color="auto"/>
            <w:left w:val="none" w:sz="0" w:space="0" w:color="auto"/>
            <w:bottom w:val="none" w:sz="0" w:space="0" w:color="auto"/>
            <w:right w:val="none" w:sz="0" w:space="0" w:color="auto"/>
          </w:divBdr>
        </w:div>
        <w:div w:id="1831554129">
          <w:marLeft w:val="547"/>
          <w:marRight w:val="0"/>
          <w:marTop w:val="115"/>
          <w:marBottom w:val="0"/>
          <w:divBdr>
            <w:top w:val="none" w:sz="0" w:space="0" w:color="auto"/>
            <w:left w:val="none" w:sz="0" w:space="0" w:color="auto"/>
            <w:bottom w:val="none" w:sz="0" w:space="0" w:color="auto"/>
            <w:right w:val="none" w:sz="0" w:space="0" w:color="auto"/>
          </w:divBdr>
        </w:div>
        <w:div w:id="1063481070">
          <w:marLeft w:val="547"/>
          <w:marRight w:val="0"/>
          <w:marTop w:val="115"/>
          <w:marBottom w:val="0"/>
          <w:divBdr>
            <w:top w:val="none" w:sz="0" w:space="0" w:color="auto"/>
            <w:left w:val="none" w:sz="0" w:space="0" w:color="auto"/>
            <w:bottom w:val="none" w:sz="0" w:space="0" w:color="auto"/>
            <w:right w:val="none" w:sz="0" w:space="0" w:color="auto"/>
          </w:divBdr>
        </w:div>
      </w:divsChild>
    </w:div>
    <w:div w:id="1096092794">
      <w:bodyDiv w:val="1"/>
      <w:marLeft w:val="0"/>
      <w:marRight w:val="0"/>
      <w:marTop w:val="0"/>
      <w:marBottom w:val="0"/>
      <w:divBdr>
        <w:top w:val="none" w:sz="0" w:space="0" w:color="auto"/>
        <w:left w:val="none" w:sz="0" w:space="0" w:color="auto"/>
        <w:bottom w:val="none" w:sz="0" w:space="0" w:color="auto"/>
        <w:right w:val="none" w:sz="0" w:space="0" w:color="auto"/>
      </w:divBdr>
      <w:divsChild>
        <w:div w:id="504828207">
          <w:marLeft w:val="547"/>
          <w:marRight w:val="0"/>
          <w:marTop w:val="115"/>
          <w:marBottom w:val="0"/>
          <w:divBdr>
            <w:top w:val="none" w:sz="0" w:space="0" w:color="auto"/>
            <w:left w:val="none" w:sz="0" w:space="0" w:color="auto"/>
            <w:bottom w:val="none" w:sz="0" w:space="0" w:color="auto"/>
            <w:right w:val="none" w:sz="0" w:space="0" w:color="auto"/>
          </w:divBdr>
        </w:div>
        <w:div w:id="2119375917">
          <w:marLeft w:val="547"/>
          <w:marRight w:val="0"/>
          <w:marTop w:val="115"/>
          <w:marBottom w:val="0"/>
          <w:divBdr>
            <w:top w:val="none" w:sz="0" w:space="0" w:color="auto"/>
            <w:left w:val="none" w:sz="0" w:space="0" w:color="auto"/>
            <w:bottom w:val="none" w:sz="0" w:space="0" w:color="auto"/>
            <w:right w:val="none" w:sz="0" w:space="0" w:color="auto"/>
          </w:divBdr>
        </w:div>
        <w:div w:id="380441224">
          <w:marLeft w:val="547"/>
          <w:marRight w:val="0"/>
          <w:marTop w:val="115"/>
          <w:marBottom w:val="0"/>
          <w:divBdr>
            <w:top w:val="none" w:sz="0" w:space="0" w:color="auto"/>
            <w:left w:val="none" w:sz="0" w:space="0" w:color="auto"/>
            <w:bottom w:val="none" w:sz="0" w:space="0" w:color="auto"/>
            <w:right w:val="none" w:sz="0" w:space="0" w:color="auto"/>
          </w:divBdr>
        </w:div>
        <w:div w:id="415369422">
          <w:marLeft w:val="547"/>
          <w:marRight w:val="0"/>
          <w:marTop w:val="115"/>
          <w:marBottom w:val="0"/>
          <w:divBdr>
            <w:top w:val="none" w:sz="0" w:space="0" w:color="auto"/>
            <w:left w:val="none" w:sz="0" w:space="0" w:color="auto"/>
            <w:bottom w:val="none" w:sz="0" w:space="0" w:color="auto"/>
            <w:right w:val="none" w:sz="0" w:space="0" w:color="auto"/>
          </w:divBdr>
        </w:div>
      </w:divsChild>
    </w:div>
    <w:div w:id="1522666938">
      <w:bodyDiv w:val="1"/>
      <w:marLeft w:val="0"/>
      <w:marRight w:val="0"/>
      <w:marTop w:val="0"/>
      <w:marBottom w:val="0"/>
      <w:divBdr>
        <w:top w:val="none" w:sz="0" w:space="0" w:color="auto"/>
        <w:left w:val="none" w:sz="0" w:space="0" w:color="auto"/>
        <w:bottom w:val="none" w:sz="0" w:space="0" w:color="auto"/>
        <w:right w:val="none" w:sz="0" w:space="0" w:color="auto"/>
      </w:divBdr>
      <w:divsChild>
        <w:div w:id="169489632">
          <w:marLeft w:val="547"/>
          <w:marRight w:val="0"/>
          <w:marTop w:val="115"/>
          <w:marBottom w:val="0"/>
          <w:divBdr>
            <w:top w:val="none" w:sz="0" w:space="0" w:color="auto"/>
            <w:left w:val="none" w:sz="0" w:space="0" w:color="auto"/>
            <w:bottom w:val="none" w:sz="0" w:space="0" w:color="auto"/>
            <w:right w:val="none" w:sz="0" w:space="0" w:color="auto"/>
          </w:divBdr>
        </w:div>
        <w:div w:id="746415472">
          <w:marLeft w:val="547"/>
          <w:marRight w:val="0"/>
          <w:marTop w:val="115"/>
          <w:marBottom w:val="0"/>
          <w:divBdr>
            <w:top w:val="none" w:sz="0" w:space="0" w:color="auto"/>
            <w:left w:val="none" w:sz="0" w:space="0" w:color="auto"/>
            <w:bottom w:val="none" w:sz="0" w:space="0" w:color="auto"/>
            <w:right w:val="none" w:sz="0" w:space="0" w:color="auto"/>
          </w:divBdr>
        </w:div>
        <w:div w:id="266276406">
          <w:marLeft w:val="547"/>
          <w:marRight w:val="0"/>
          <w:marTop w:val="115"/>
          <w:marBottom w:val="0"/>
          <w:divBdr>
            <w:top w:val="none" w:sz="0" w:space="0" w:color="auto"/>
            <w:left w:val="none" w:sz="0" w:space="0" w:color="auto"/>
            <w:bottom w:val="none" w:sz="0" w:space="0" w:color="auto"/>
            <w:right w:val="none" w:sz="0" w:space="0" w:color="auto"/>
          </w:divBdr>
        </w:div>
        <w:div w:id="207885242">
          <w:marLeft w:val="547"/>
          <w:marRight w:val="0"/>
          <w:marTop w:val="115"/>
          <w:marBottom w:val="0"/>
          <w:divBdr>
            <w:top w:val="none" w:sz="0" w:space="0" w:color="auto"/>
            <w:left w:val="none" w:sz="0" w:space="0" w:color="auto"/>
            <w:bottom w:val="none" w:sz="0" w:space="0" w:color="auto"/>
            <w:right w:val="none" w:sz="0" w:space="0" w:color="auto"/>
          </w:divBdr>
        </w:div>
      </w:divsChild>
    </w:div>
    <w:div w:id="1803693245">
      <w:bodyDiv w:val="1"/>
      <w:marLeft w:val="0"/>
      <w:marRight w:val="0"/>
      <w:marTop w:val="0"/>
      <w:marBottom w:val="0"/>
      <w:divBdr>
        <w:top w:val="none" w:sz="0" w:space="0" w:color="auto"/>
        <w:left w:val="none" w:sz="0" w:space="0" w:color="auto"/>
        <w:bottom w:val="none" w:sz="0" w:space="0" w:color="auto"/>
        <w:right w:val="none" w:sz="0" w:space="0" w:color="auto"/>
      </w:divBdr>
      <w:divsChild>
        <w:div w:id="474417586">
          <w:marLeft w:val="547"/>
          <w:marRight w:val="0"/>
          <w:marTop w:val="0"/>
          <w:marBottom w:val="0"/>
          <w:divBdr>
            <w:top w:val="none" w:sz="0" w:space="0" w:color="auto"/>
            <w:left w:val="none" w:sz="0" w:space="0" w:color="auto"/>
            <w:bottom w:val="none" w:sz="0" w:space="0" w:color="auto"/>
            <w:right w:val="none" w:sz="0" w:space="0" w:color="auto"/>
          </w:divBdr>
        </w:div>
      </w:divsChild>
    </w:div>
    <w:div w:id="1824472225">
      <w:bodyDiv w:val="1"/>
      <w:marLeft w:val="0"/>
      <w:marRight w:val="0"/>
      <w:marTop w:val="0"/>
      <w:marBottom w:val="0"/>
      <w:divBdr>
        <w:top w:val="none" w:sz="0" w:space="0" w:color="auto"/>
        <w:left w:val="none" w:sz="0" w:space="0" w:color="auto"/>
        <w:bottom w:val="none" w:sz="0" w:space="0" w:color="auto"/>
        <w:right w:val="none" w:sz="0" w:space="0" w:color="auto"/>
      </w:divBdr>
      <w:divsChild>
        <w:div w:id="1191143594">
          <w:marLeft w:val="547"/>
          <w:marRight w:val="0"/>
          <w:marTop w:val="96"/>
          <w:marBottom w:val="0"/>
          <w:divBdr>
            <w:top w:val="none" w:sz="0" w:space="0" w:color="auto"/>
            <w:left w:val="none" w:sz="0" w:space="0" w:color="auto"/>
            <w:bottom w:val="none" w:sz="0" w:space="0" w:color="auto"/>
            <w:right w:val="none" w:sz="0" w:space="0" w:color="auto"/>
          </w:divBdr>
        </w:div>
      </w:divsChild>
    </w:div>
    <w:div w:id="1961715314">
      <w:bodyDiv w:val="1"/>
      <w:marLeft w:val="0"/>
      <w:marRight w:val="0"/>
      <w:marTop w:val="0"/>
      <w:marBottom w:val="0"/>
      <w:divBdr>
        <w:top w:val="none" w:sz="0" w:space="0" w:color="auto"/>
        <w:left w:val="none" w:sz="0" w:space="0" w:color="auto"/>
        <w:bottom w:val="none" w:sz="0" w:space="0" w:color="auto"/>
        <w:right w:val="none" w:sz="0" w:space="0" w:color="auto"/>
      </w:divBdr>
      <w:divsChild>
        <w:div w:id="620649368">
          <w:marLeft w:val="547"/>
          <w:marRight w:val="0"/>
          <w:marTop w:val="106"/>
          <w:marBottom w:val="0"/>
          <w:divBdr>
            <w:top w:val="none" w:sz="0" w:space="0" w:color="auto"/>
            <w:left w:val="none" w:sz="0" w:space="0" w:color="auto"/>
            <w:bottom w:val="none" w:sz="0" w:space="0" w:color="auto"/>
            <w:right w:val="none" w:sz="0" w:space="0" w:color="auto"/>
          </w:divBdr>
        </w:div>
      </w:divsChild>
    </w:div>
    <w:div w:id="20630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L/TXT/PDF/?uri=CELEX:32013R1407&amp;rid=1" TargetMode="External"/><Relationship Id="rId2" Type="http://schemas.openxmlformats.org/officeDocument/2006/relationships/hyperlink" Target="http://eur-lex.europa.eu/legal-content/EL/TXT/PDF/?uri=CELEX:12012E/TXT&amp;from=EL" TargetMode="External"/><Relationship Id="rId1" Type="http://schemas.openxmlformats.org/officeDocument/2006/relationships/hyperlink" Target="http://eur-lex.europa.eu/legal-content/EL/TXT/PDF/?uri=CELEX:32013R1305&amp;rid=1" TargetMode="External"/><Relationship Id="rId6" Type="http://schemas.openxmlformats.org/officeDocument/2006/relationships/hyperlink" Target="http://eur-lex.europa.eu/legal-content/EL/TXT/PDF/?uri=OJ:C:2014:204:FULL&amp;from=EL" TargetMode="External"/><Relationship Id="rId5" Type="http://schemas.openxmlformats.org/officeDocument/2006/relationships/hyperlink" Target="http://eur-lex.europa.eu/legal-content/EL/TXT/PDF/?uri=CELEX:32014R0651&amp;rid=1" TargetMode="External"/><Relationship Id="rId4" Type="http://schemas.openxmlformats.org/officeDocument/2006/relationships/hyperlink" Target="http://eur-lex.europa.eu/legal-content/EL/TXT/PDF/?uri=CELEX:32014R0702&amp;rid=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A1"/>
    <w:family w:val="roman"/>
    <w:notTrueType/>
    <w:pitch w:val="variable"/>
    <w:sig w:usb0="00000081"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27"/>
    <w:rsid w:val="00352280"/>
    <w:rsid w:val="005D6AED"/>
    <w:rsid w:val="005E5047"/>
    <w:rsid w:val="00941EB4"/>
    <w:rsid w:val="00C43057"/>
    <w:rsid w:val="00D56513"/>
    <w:rsid w:val="00F1558C"/>
    <w:rsid w:val="00FC5152"/>
    <w:rsid w:val="00FD12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FF8D7D28C94247B9C191EEF57F0B99">
    <w:name w:val="08FF8D7D28C94247B9C191EEF57F0B99"/>
    <w:rsid w:val="00FD1227"/>
  </w:style>
  <w:style w:type="paragraph" w:customStyle="1" w:styleId="167469C225B043118D949D0D33868BBD">
    <w:name w:val="167469C225B043118D949D0D33868BBD"/>
    <w:rsid w:val="00FD1227"/>
  </w:style>
  <w:style w:type="paragraph" w:customStyle="1" w:styleId="FB877176218D421898025449EB2F27CA">
    <w:name w:val="FB877176218D421898025449EB2F27CA"/>
    <w:rsid w:val="00FD1227"/>
  </w:style>
  <w:style w:type="paragraph" w:customStyle="1" w:styleId="102523725F2148C78DE2503E385A2643">
    <w:name w:val="102523725F2148C78DE2503E385A2643"/>
    <w:rsid w:val="00FD1227"/>
  </w:style>
  <w:style w:type="paragraph" w:customStyle="1" w:styleId="4E297ED02AF4419499B11C3228A390BE">
    <w:name w:val="4E297ED02AF4419499B11C3228A390BE"/>
    <w:rsid w:val="00FD1227"/>
  </w:style>
  <w:style w:type="paragraph" w:customStyle="1" w:styleId="CF71E4FA4B3E4B55890B64B90D3D23F1">
    <w:name w:val="CF71E4FA4B3E4B55890B64B90D3D23F1"/>
    <w:rsid w:val="00FD1227"/>
  </w:style>
  <w:style w:type="paragraph" w:customStyle="1" w:styleId="CB3F7B1C25D341F6932D496915F2406B">
    <w:name w:val="CB3F7B1C25D341F6932D496915F2406B"/>
    <w:rsid w:val="00FD1227"/>
  </w:style>
  <w:style w:type="paragraph" w:customStyle="1" w:styleId="15FE936919D040408A550FE440DD8C4D">
    <w:name w:val="15FE936919D040408A550FE440DD8C4D"/>
    <w:rsid w:val="00FD1227"/>
  </w:style>
  <w:style w:type="paragraph" w:customStyle="1" w:styleId="EF2A47D4A0344C57A92237704F7E04EC">
    <w:name w:val="EF2A47D4A0344C57A92237704F7E04EC"/>
    <w:rsid w:val="00FD1227"/>
  </w:style>
  <w:style w:type="paragraph" w:customStyle="1" w:styleId="987311D938004DE9A250C7552D730C3A">
    <w:name w:val="987311D938004DE9A250C7552D730C3A"/>
    <w:rsid w:val="00FD1227"/>
  </w:style>
  <w:style w:type="paragraph" w:customStyle="1" w:styleId="7B5855FE4511439DB19F00A64EF0B375">
    <w:name w:val="7B5855FE4511439DB19F00A64EF0B375"/>
    <w:rsid w:val="00FD1227"/>
  </w:style>
  <w:style w:type="paragraph" w:customStyle="1" w:styleId="D7375BB9A1A24A39BFFD2399C3BD9C72">
    <w:name w:val="D7375BB9A1A24A39BFFD2399C3BD9C72"/>
    <w:rsid w:val="00FD1227"/>
  </w:style>
  <w:style w:type="paragraph" w:customStyle="1" w:styleId="7419F03950D240D3909DB0CB7BFF47A0">
    <w:name w:val="7419F03950D240D3909DB0CB7BFF47A0"/>
    <w:rsid w:val="00FD1227"/>
  </w:style>
  <w:style w:type="paragraph" w:customStyle="1" w:styleId="0270DA18F3494CF3AEFD05E84BEF4CDF">
    <w:name w:val="0270DA18F3494CF3AEFD05E84BEF4CDF"/>
    <w:rsid w:val="00FD1227"/>
  </w:style>
  <w:style w:type="paragraph" w:customStyle="1" w:styleId="29E4063F70EF43CB8BF1CF5E479D7FB8">
    <w:name w:val="29E4063F70EF43CB8BF1CF5E479D7FB8"/>
    <w:rsid w:val="00FD1227"/>
  </w:style>
  <w:style w:type="paragraph" w:customStyle="1" w:styleId="45A60819DCAF47C6895B669D7765AEAE">
    <w:name w:val="45A60819DCAF47C6895B669D7765AEAE"/>
    <w:rsid w:val="00941E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FF8D7D28C94247B9C191EEF57F0B99">
    <w:name w:val="08FF8D7D28C94247B9C191EEF57F0B99"/>
    <w:rsid w:val="00FD1227"/>
  </w:style>
  <w:style w:type="paragraph" w:customStyle="1" w:styleId="167469C225B043118D949D0D33868BBD">
    <w:name w:val="167469C225B043118D949D0D33868BBD"/>
    <w:rsid w:val="00FD1227"/>
  </w:style>
  <w:style w:type="paragraph" w:customStyle="1" w:styleId="FB877176218D421898025449EB2F27CA">
    <w:name w:val="FB877176218D421898025449EB2F27CA"/>
    <w:rsid w:val="00FD1227"/>
  </w:style>
  <w:style w:type="paragraph" w:customStyle="1" w:styleId="102523725F2148C78DE2503E385A2643">
    <w:name w:val="102523725F2148C78DE2503E385A2643"/>
    <w:rsid w:val="00FD1227"/>
  </w:style>
  <w:style w:type="paragraph" w:customStyle="1" w:styleId="4E297ED02AF4419499B11C3228A390BE">
    <w:name w:val="4E297ED02AF4419499B11C3228A390BE"/>
    <w:rsid w:val="00FD1227"/>
  </w:style>
  <w:style w:type="paragraph" w:customStyle="1" w:styleId="CF71E4FA4B3E4B55890B64B90D3D23F1">
    <w:name w:val="CF71E4FA4B3E4B55890B64B90D3D23F1"/>
    <w:rsid w:val="00FD1227"/>
  </w:style>
  <w:style w:type="paragraph" w:customStyle="1" w:styleId="CB3F7B1C25D341F6932D496915F2406B">
    <w:name w:val="CB3F7B1C25D341F6932D496915F2406B"/>
    <w:rsid w:val="00FD1227"/>
  </w:style>
  <w:style w:type="paragraph" w:customStyle="1" w:styleId="15FE936919D040408A550FE440DD8C4D">
    <w:name w:val="15FE936919D040408A550FE440DD8C4D"/>
    <w:rsid w:val="00FD1227"/>
  </w:style>
  <w:style w:type="paragraph" w:customStyle="1" w:styleId="EF2A47D4A0344C57A92237704F7E04EC">
    <w:name w:val="EF2A47D4A0344C57A92237704F7E04EC"/>
    <w:rsid w:val="00FD1227"/>
  </w:style>
  <w:style w:type="paragraph" w:customStyle="1" w:styleId="987311D938004DE9A250C7552D730C3A">
    <w:name w:val="987311D938004DE9A250C7552D730C3A"/>
    <w:rsid w:val="00FD1227"/>
  </w:style>
  <w:style w:type="paragraph" w:customStyle="1" w:styleId="7B5855FE4511439DB19F00A64EF0B375">
    <w:name w:val="7B5855FE4511439DB19F00A64EF0B375"/>
    <w:rsid w:val="00FD1227"/>
  </w:style>
  <w:style w:type="paragraph" w:customStyle="1" w:styleId="D7375BB9A1A24A39BFFD2399C3BD9C72">
    <w:name w:val="D7375BB9A1A24A39BFFD2399C3BD9C72"/>
    <w:rsid w:val="00FD1227"/>
  </w:style>
  <w:style w:type="paragraph" w:customStyle="1" w:styleId="7419F03950D240D3909DB0CB7BFF47A0">
    <w:name w:val="7419F03950D240D3909DB0CB7BFF47A0"/>
    <w:rsid w:val="00FD1227"/>
  </w:style>
  <w:style w:type="paragraph" w:customStyle="1" w:styleId="0270DA18F3494CF3AEFD05E84BEF4CDF">
    <w:name w:val="0270DA18F3494CF3AEFD05E84BEF4CDF"/>
    <w:rsid w:val="00FD1227"/>
  </w:style>
  <w:style w:type="paragraph" w:customStyle="1" w:styleId="29E4063F70EF43CB8BF1CF5E479D7FB8">
    <w:name w:val="29E4063F70EF43CB8BF1CF5E479D7FB8"/>
    <w:rsid w:val="00FD1227"/>
  </w:style>
  <w:style w:type="paragraph" w:customStyle="1" w:styleId="45A60819DCAF47C6895B669D7765AEAE">
    <w:name w:val="45A60819DCAF47C6895B669D7765AEAE"/>
    <w:rsid w:val="00941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ΜΑΪΟΣ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3CA47B-0705-4828-9769-3EEF1CB1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4761</Words>
  <Characters>25713</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ΠΟΣΟΣΤΑ ΕΝΙΣΧΥΣΗΣ ΔΙΚΑΙΟΥΧΩΝ            ΚΡΑΤΙΚΕΣ ΕΝΙΣΧΥΣΕΙΣ</vt:lpstr>
    </vt:vector>
  </TitlesOfParts>
  <Company>υπουργειο αγροτικησ αναπτυξησ &amp; τροφιμων</Company>
  <LinksUpToDate>false</LinksUpToDate>
  <CharactersWithSpaces>30414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ΠΟΣΟΣΤΑ ΕΝΙΣΧΥΣΗΣ ΔΙΚΑΙΟΥΧΩΝ            ΚΡΑΤΙΚΕΣ ΕΝΙΣΧΥΣΕΙΣ</dc:title>
  <dc:subject>Μ19.2:ΣΤΗΡΙΞΗ ΥΛΟΠΟΙΗΣΗΣ ΔΡΑΣΕΩΝ ΤΩΝ ΣΤΡΑΤΗΓΙΚΩΝ ΤΟΠΙΚΗΣ ΑΝΑΠΤΥΞΗΣ ΜΕ ΠΡΩΤΟΒΟΥΛΙΑ ΤΟΠΙΚΩΝ ΚΟΙΝΟΤΗΤΩΝ (CLLD/LEADER)</dc:subject>
  <dc:creator>ΜΟΝΑΔΑ ΠΡΟΓΡΑΜΜΑΤΙΣΜΟΥ &amp; ΑΞΙΟΛΟΓΗΣΗΣ</dc:creator>
  <cp:lastModifiedBy>ΑΘΑΝΑΣΟΠΟΥΛΟΥ ΑΙΚΑΤΕΡΙΝΗ</cp:lastModifiedBy>
  <cp:revision>17</cp:revision>
  <cp:lastPrinted>2016-05-10T17:02:00Z</cp:lastPrinted>
  <dcterms:created xsi:type="dcterms:W3CDTF">2016-05-12T13:28:00Z</dcterms:created>
  <dcterms:modified xsi:type="dcterms:W3CDTF">2016-05-13T10:32:00Z</dcterms:modified>
</cp:coreProperties>
</file>