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3D06E649" w:rsidR="007B4971" w:rsidRPr="003B31A2" w:rsidRDefault="007B4971" w:rsidP="00763240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76324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76324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C472C">
              <w:rPr>
                <w:rFonts w:ascii="Tahoma" w:hAnsi="Tahoma" w:cs="Tahoma"/>
                <w:sz w:val="16"/>
                <w:szCs w:val="16"/>
              </w:rPr>
            </w:r>
            <w:r w:rsidR="005C47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6324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44DB9430" w:rsidR="003748B1" w:rsidRDefault="00763240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7D83D529" w:rsidR="003748B1" w:rsidRPr="00C8511D" w:rsidRDefault="00763240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Στέλεχος Τεχνικής Βοήθειας</w:t>
            </w:r>
            <w:r w:rsidR="00E73A69" w:rsidRPr="00E73A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0A6774AC" w:rsidR="003748B1" w:rsidRPr="000E0754" w:rsidRDefault="004C577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3DF3AAEC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2CF10F7B" w:rsidR="003748B1" w:rsidRPr="000E0754" w:rsidRDefault="00763240" w:rsidP="007774BF">
            <w:pPr>
              <w:rPr>
                <w:rFonts w:ascii="Tahoma" w:hAnsi="Tahoma" w:cs="Tahoma"/>
                <w:sz w:val="16"/>
                <w:szCs w:val="16"/>
              </w:rPr>
            </w:pPr>
            <w:r w:rsidRPr="00763240">
              <w:rPr>
                <w:rFonts w:ascii="Tahoma" w:hAnsi="Tahoma" w:cs="Tahoma"/>
                <w:bCs/>
                <w:sz w:val="16"/>
                <w:szCs w:val="16"/>
              </w:rPr>
              <w:t>Ο υπεύθυνος για την υλοποίηση του προγράμματος ΤΒ του ΕΠ, εισηγούμενος στον Προϊστάμενο της αρμόδιας Μονάδας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7367033" w14:textId="65D53A1C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σε συνεργασία με τις Μονάδες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συλλογή αιτημάτων,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αξιολόγη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ση/ ιεράρχηση αναγκών)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προγράμματος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ενεργειών Τεχνικής Βοήθειας</w:t>
            </w:r>
            <w:r w:rsidRPr="00AA0F7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</w:t>
            </w:r>
            <w:r w:rsidR="002E03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που συγχρηματοδοτείται από το επιχειρησιακό πρόγραμμα</w:t>
            </w:r>
          </w:p>
          <w:p w14:paraId="56EE8670" w14:textId="731EA323" w:rsidR="002E03A7" w:rsidRPr="009947F1" w:rsidRDefault="002E03A7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κατάρτιση του ετήσιου προγράμματος ενεργειών τεχνικής βοήθειας (ΤΒ) σε συνεργασία με τις άλλες Μονάδες και την υποβολή του προς έγκριση.</w:t>
            </w:r>
          </w:p>
          <w:p w14:paraId="4E7AFF76" w14:textId="402320C9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σε συνεργασία με τις Μονάδες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συλλογή αιτημάτων,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αξιολόγη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ση/ ιεράρχηση αναγκών)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ετήσιου προγράμματος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ενεργειών Τεχνικής Βοήθειας</w:t>
            </w:r>
            <w:r w:rsidRPr="00AA0F7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256F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χρηματοδοτε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ίται από αμιγώς εθνικούς πόρους</w:t>
            </w:r>
            <w:r w:rsidR="002E03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υποβολή του προς έγκριση στον Υπουργό Οικονομίας, Ανάπτυξης και Τουρισμού</w:t>
            </w:r>
          </w:p>
          <w:p w14:paraId="0EF28C36" w14:textId="05C76B99" w:rsidR="002E03A7" w:rsidRPr="009947F1" w:rsidRDefault="002E03A7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Εκτέλεση των πράξεων ΤΒ με δικαιούχο τη Διαχειριστική Αρχή και τήρηση των στοιχείων φυσικού και οικονομικού αντικειμένου των πράξεων αυτών</w:t>
            </w:r>
          </w:p>
          <w:p w14:paraId="5FA72EC7" w14:textId="10462EE2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 αιτήσεων χρηματοδότησης, ΤΔΠ</w:t>
            </w:r>
            <w:r w:rsidRPr="00CF01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/Υ των Πράξεων ΤΒ για υποβολή στην αρμόδια Μονάδα</w:t>
            </w:r>
            <w:r w:rsidR="002E03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Β</w:t>
            </w:r>
            <w:r w:rsidRPr="00CF01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 Τήρηση υποχρεώσεων ως Δικαιούχου για τις Πράξεις ΤΒ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σύμφωνα με τους όρους της Απόφασης Ένταξης και τα προβλεπόμενα στο ΣΔΕ και ειδικότερα:</w:t>
            </w:r>
          </w:p>
          <w:p w14:paraId="2BBA6B20" w14:textId="77777777" w:rsidR="00763240" w:rsidRPr="00683169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8316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Προετοιμασία και διενέργεια διαγωνισμών για την ανάθεση συμβάσεων σε τρίτους </w:t>
            </w:r>
          </w:p>
          <w:p w14:paraId="29AC7482" w14:textId="77777777" w:rsidR="00763240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της εκτέλεσης της σύμβασης ή εκτέλεση Πράξης με ίδια μέσα</w:t>
            </w:r>
          </w:p>
          <w:p w14:paraId="57FE5673" w14:textId="7EACB333" w:rsidR="00763240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 δελτίων δήλωσης δαπανών, εκθέσεων Ολοκλήρωσης της Πράξης και υποβολή τους με τα απαιτούμενα συνοδευτικά έγγραφα στην αρμόδια Μονάδα Γ</w:t>
            </w:r>
          </w:p>
          <w:p w14:paraId="53474E98" w14:textId="77777777" w:rsidR="00763240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Φακέλου Πράξης </w:t>
            </w:r>
          </w:p>
          <w:p w14:paraId="719F0EBB" w14:textId="1EAD85FB" w:rsidR="00763240" w:rsidRPr="00F73D71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73D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της τήρησης επαρκούς λογιστικής κωδικοποίησης για όλες τις συναλλαγές που έχουν σχέση με την Πράξη</w:t>
            </w:r>
          </w:p>
          <w:p w14:paraId="7E052340" w14:textId="01F9A230" w:rsidR="00763240" w:rsidRPr="00F73D71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73D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διενέργεια των πληρωμών προς τους αναδόχους Πράξεων </w:t>
            </w:r>
          </w:p>
          <w:p w14:paraId="2626501A" w14:textId="77777777" w:rsidR="00763240" w:rsidRPr="00C35A5D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Ενημέρωση του ΟΠΣ με τα δεδομένα των Πράξεων που υλοποιεί.</w:t>
            </w:r>
            <w:r w:rsidRPr="00C35A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Ευθύνη για την ακρίβεια, την ποιότητα και πληρότητα των στοιχείων αρμοδιότητάς του που καταχωρεί στο ΟΠΣ </w:t>
            </w:r>
          </w:p>
          <w:p w14:paraId="26DBC70B" w14:textId="77777777" w:rsidR="00763240" w:rsidRPr="00CF01E3" w:rsidRDefault="00763240" w:rsidP="00763240">
            <w:pPr>
              <w:pStyle w:val="ae"/>
              <w:numPr>
                <w:ilvl w:val="0"/>
                <w:numId w:val="24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υποχρεώσεων πληροφόρησης και επικοινωνίας για τις Πράξεις που υλοποιεί</w:t>
            </w:r>
          </w:p>
          <w:p w14:paraId="586FC36B" w14:textId="272368D7" w:rsidR="00763240" w:rsidRPr="00CA3E4D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A3E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 για κατευθύνσεις / οδηγίες / συντονισμό σε θέματα ΤΒ</w:t>
            </w:r>
            <w:r w:rsidR="003F3791" w:rsidRPr="00CA3E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CA3E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52A8B237" w14:textId="77777777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αρχείου παρεχόντων υπηρεσι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ών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(εμπειρογνωμόνων, αξιολογητών, ελεγκτών, κλπ.) και προμηθευτών (αναδό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χων ΤΒ).  </w:t>
            </w:r>
          </w:p>
          <w:p w14:paraId="2CC9D9B9" w14:textId="4FAF22BD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Συγκέντρωση</w:t>
            </w:r>
            <w:r w:rsidRPr="007E2A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Πράξεων Τεχνικής Βοήθειας που υλοποιεί για τις ανάγκες των ελέγχων που διενεργούνται από ελεγκ</w:t>
            </w:r>
            <w:r w:rsidR="003F379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τικά όργανα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7D6CC412" w14:textId="77777777" w:rsidR="00763240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35A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Επιτροπές και Ομάδες Εργασίας </w:t>
            </w:r>
            <w:r w:rsidRPr="00C35A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συγκροτούνται, κατά περίπτωση, στο πλαίσιο λειτουργίας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C35A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7C9DD444" w14:textId="2BD232F7" w:rsidR="00763240" w:rsidRPr="008046C2" w:rsidRDefault="00763240" w:rsidP="00763240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046C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8563FD" w14:textId="1E9F24B1" w:rsidR="00E73A69" w:rsidRPr="0075493E" w:rsidRDefault="00E73A69" w:rsidP="0075493E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14:paraId="64EAF225" w14:textId="149CB89D" w:rsidR="001D19B3" w:rsidRPr="00074B13" w:rsidRDefault="00E73A69" w:rsidP="00E73A69">
            <w:pPr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ΕΥΔ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048DF719" w:rsidR="00281DD5" w:rsidRPr="005103F9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  <w:r w:rsidR="005103F9" w:rsidRPr="005103F9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5103F9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0D77B183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 ΠΕ</w:t>
            </w:r>
            <w:r w:rsidR="005103F9" w:rsidRPr="005103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r w:rsidR="005103F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43E1A523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5103F9" w:rsidRPr="005103F9">
              <w:rPr>
                <w:rFonts w:ascii="Tahoma" w:hAnsi="Tahoma" w:cs="Tahoma"/>
                <w:sz w:val="18"/>
                <w:szCs w:val="18"/>
              </w:rPr>
              <w:t>/</w:t>
            </w:r>
            <w:r w:rsidR="005103F9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Pr="005103F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4289128C" w14:textId="0FEEC878" w:rsidR="005103F9" w:rsidRDefault="005103F9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33F0ED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568D678D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 ΠΕ</w:t>
            </w:r>
            <w:r w:rsidR="005103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/ΤΕ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D7D616B" w14:textId="77777777" w:rsidR="00633E3B" w:rsidRDefault="00633E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03BDCE34" w14:textId="77777777" w:rsidR="00281DD5" w:rsidRDefault="00281DD5" w:rsidP="00281DD5"/>
    <w:p w14:paraId="3ACBBAE6" w14:textId="77777777" w:rsidR="00281DD5" w:rsidRDefault="00281DD5" w:rsidP="00281DD5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5103F9" w:rsidRPr="009550B1" w14:paraId="564AD64D" w14:textId="77777777" w:rsidTr="005103F9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7B3FB68A" w14:textId="77777777" w:rsidR="005103F9" w:rsidRPr="007C7778" w:rsidRDefault="005103F9" w:rsidP="00FA490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9D55E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ΠΡΟΣΟΝΤΑ ΚΑΛΥΨΗΣ ΘΕΣΗΣ ΕΡΓΑΣΙΑΣ </w:t>
            </w:r>
            <w:r w:rsidRPr="007C777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ΔΕ</w:t>
            </w:r>
            <w:r w:rsidRPr="007C777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5103F9" w:rsidRPr="0068592E" w14:paraId="3C297DDB" w14:textId="77777777" w:rsidTr="00FA4903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0C1FB8" w14:textId="77777777" w:rsidR="005103F9" w:rsidRPr="006B40D4" w:rsidRDefault="005103F9" w:rsidP="00FA4903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ΑΠΑΡΑΙΤΗΤΑ ΠΡΟΣΟΝΤΑ</w:t>
            </w:r>
            <w:r w:rsidRPr="006B40D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5103F9" w:rsidRPr="0066707B" w14:paraId="1A33EAA6" w14:textId="77777777" w:rsidTr="00FA4903">
        <w:trPr>
          <w:trHeight w:val="84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1ECE1440" w14:textId="77777777" w:rsidR="005103F9" w:rsidRPr="007A6BBD" w:rsidRDefault="005103F9" w:rsidP="00FA4903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62EB9EFC" w14:textId="77777777" w:rsidR="005103F9" w:rsidRPr="0066707B" w:rsidRDefault="005103F9" w:rsidP="00FA4903">
            <w:pPr>
              <w:tabs>
                <w:tab w:val="num" w:pos="360"/>
              </w:tabs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1. Απολυτήριος τίτλος λυκείου ή ισότιμου</w:t>
            </w:r>
          </w:p>
          <w:p w14:paraId="043F0B2F" w14:textId="77777777" w:rsidR="005103F9" w:rsidRPr="0066707B" w:rsidRDefault="005103F9" w:rsidP="00FA4903">
            <w:pPr>
              <w:tabs>
                <w:tab w:val="num" w:pos="360"/>
              </w:tabs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6ετής επαγγελματική εμπειρία</w:t>
            </w:r>
          </w:p>
          <w:p w14:paraId="019CB131" w14:textId="77777777" w:rsidR="005103F9" w:rsidRPr="007A6BBD" w:rsidRDefault="005103F9" w:rsidP="00FA4903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7346513B" w14:textId="77777777" w:rsidR="005103F9" w:rsidRPr="00FD0B51" w:rsidRDefault="005103F9" w:rsidP="005103F9">
            <w:pPr>
              <w:pStyle w:val="ae"/>
              <w:numPr>
                <w:ilvl w:val="0"/>
                <w:numId w:val="26"/>
              </w:numPr>
              <w:ind w:left="318"/>
              <w:rPr>
                <w:rFonts w:ascii="Tahoma" w:hAnsi="Tahoma" w:cs="Tahoma"/>
                <w:sz w:val="18"/>
                <w:szCs w:val="18"/>
              </w:rPr>
            </w:pPr>
            <w:r w:rsidRPr="00FD0B51">
              <w:rPr>
                <w:rFonts w:ascii="Tahoma" w:hAnsi="Tahoma" w:cs="Tahoma"/>
                <w:sz w:val="18"/>
                <w:szCs w:val="18"/>
              </w:rPr>
              <w:t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Ε.Υ.</w:t>
            </w:r>
          </w:p>
          <w:p w14:paraId="6BA7399F" w14:textId="77777777" w:rsidR="005103F9" w:rsidRPr="00FD0B51" w:rsidRDefault="005103F9" w:rsidP="005103F9">
            <w:pPr>
              <w:pStyle w:val="ae"/>
              <w:numPr>
                <w:ilvl w:val="0"/>
                <w:numId w:val="26"/>
              </w:numPr>
              <w:ind w:left="318"/>
              <w:rPr>
                <w:rFonts w:ascii="Tahoma" w:hAnsi="Tahoma" w:cs="Tahoma"/>
                <w:sz w:val="18"/>
                <w:szCs w:val="18"/>
              </w:rPr>
            </w:pPr>
            <w:r w:rsidRPr="00FD0B51"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14:paraId="095A7171" w14:textId="77777777" w:rsidR="005103F9" w:rsidRDefault="005103F9" w:rsidP="005103F9">
            <w:pPr>
              <w:pStyle w:val="ae"/>
              <w:numPr>
                <w:ilvl w:val="0"/>
                <w:numId w:val="26"/>
              </w:numPr>
              <w:ind w:left="318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6DBEA615" w14:textId="77777777" w:rsidR="005103F9" w:rsidRPr="0066707B" w:rsidRDefault="005103F9" w:rsidP="005103F9">
            <w:pPr>
              <w:pStyle w:val="ae"/>
              <w:numPr>
                <w:ilvl w:val="0"/>
                <w:numId w:val="26"/>
              </w:numPr>
              <w:ind w:left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14:paraId="45F67003" w14:textId="77777777" w:rsidR="005103F9" w:rsidRPr="0071613D" w:rsidRDefault="005103F9" w:rsidP="005103F9">
            <w:pPr>
              <w:pStyle w:val="ae"/>
              <w:numPr>
                <w:ilvl w:val="0"/>
                <w:numId w:val="26"/>
              </w:numPr>
              <w:spacing w:after="120"/>
              <w:ind w:left="317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Ικανότητα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χρήσης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r w:rsidRPr="00FD0B51">
              <w:rPr>
                <w:rFonts w:ascii="Tahoma" w:hAnsi="Tahoma" w:cs="Tahoma"/>
                <w:sz w:val="18"/>
                <w:szCs w:val="18"/>
              </w:rPr>
              <w:t>Internet</w:t>
            </w:r>
          </w:p>
        </w:tc>
      </w:tr>
      <w:tr w:rsidR="005103F9" w:rsidRPr="0066707B" w14:paraId="0AD6EC6C" w14:textId="77777777" w:rsidTr="00FA4903">
        <w:trPr>
          <w:trHeight w:hRule="exact"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4BDA7B0" w14:textId="77777777" w:rsidR="005103F9" w:rsidRPr="0066707B" w:rsidRDefault="005103F9" w:rsidP="00FA4903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6707B">
              <w:rPr>
                <w:rFonts w:ascii="Tahoma" w:hAnsi="Tahoma" w:cs="Tahoma"/>
                <w:b/>
                <w:sz w:val="18"/>
                <w:szCs w:val="18"/>
              </w:rPr>
              <w:t>Β.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ΠΡΟΣΘΕΤΑ/ ΕΠΙΘΥΜΗΤΑ ΠΡΟΣΟΝΤΑ</w:t>
            </w:r>
            <w:r w:rsidRPr="0066707B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5103F9" w:rsidRPr="0068592E" w14:paraId="2388203F" w14:textId="77777777" w:rsidTr="00FA4903">
        <w:trPr>
          <w:trHeight w:val="59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7238AAC5" w14:textId="77777777" w:rsidR="005103F9" w:rsidRPr="0066707B" w:rsidRDefault="005103F9" w:rsidP="005103F9">
            <w:pPr>
              <w:numPr>
                <w:ilvl w:val="0"/>
                <w:numId w:val="25"/>
              </w:numPr>
              <w:spacing w:before="12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Πτυχίο ΙΕΚ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ΚΕΣ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ή ισότιμο</w:t>
            </w:r>
          </w:p>
          <w:p w14:paraId="02FC48F9" w14:textId="77777777" w:rsidR="005103F9" w:rsidRPr="0066707B" w:rsidRDefault="005103F9" w:rsidP="005103F9">
            <w:pPr>
              <w:numPr>
                <w:ilvl w:val="0"/>
                <w:numId w:val="25"/>
              </w:numPr>
              <w:spacing w:after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Γνώση ξένης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κοινοτικής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γλώσσας</w:t>
            </w:r>
          </w:p>
        </w:tc>
      </w:tr>
    </w:tbl>
    <w:p w14:paraId="7C9DD456" w14:textId="77777777" w:rsidR="006502E2" w:rsidRDefault="006502E2" w:rsidP="00763ED3"/>
    <w:sectPr w:rsidR="006502E2" w:rsidSect="008046C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C10D" w14:textId="77777777" w:rsidR="00B77D01" w:rsidRDefault="00B77D01">
      <w:r>
        <w:separator/>
      </w:r>
    </w:p>
  </w:endnote>
  <w:endnote w:type="continuationSeparator" w:id="0">
    <w:p w14:paraId="5E3821A2" w14:textId="77777777" w:rsidR="00B77D01" w:rsidRDefault="00B7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EA5A" w14:textId="77777777" w:rsidR="008046C2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8046C2" w:rsidRPr="00662F0B" w14:paraId="5AD4B84D" w14:textId="77777777" w:rsidTr="00BE65D1">
      <w:trPr>
        <w:jc w:val="center"/>
      </w:trPr>
      <w:tc>
        <w:tcPr>
          <w:tcW w:w="3383" w:type="dxa"/>
          <w:shd w:val="clear" w:color="auto" w:fill="auto"/>
        </w:tcPr>
        <w:p w14:paraId="48323F82" w14:textId="77777777" w:rsidR="008046C2" w:rsidRPr="00662F0B" w:rsidRDefault="008046C2" w:rsidP="00BE65D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ABB3CA3" w14:textId="3247F533" w:rsidR="008046C2" w:rsidRPr="00233335" w:rsidRDefault="008046C2" w:rsidP="00BE65D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5C472C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0C120DF6" w14:textId="77777777" w:rsidR="008046C2" w:rsidRPr="00662F0B" w:rsidRDefault="008046C2" w:rsidP="00BE65D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C472C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2BAE5A8E" w14:textId="77777777" w:rsidR="008046C2" w:rsidRPr="00662F0B" w:rsidRDefault="008046C2" w:rsidP="00BE65D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DAF3D16" wp14:editId="36C74A09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72403165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9DE4" w14:textId="77777777" w:rsidR="00B77D01" w:rsidRDefault="00B77D01">
      <w:r>
        <w:separator/>
      </w:r>
    </w:p>
  </w:footnote>
  <w:footnote w:type="continuationSeparator" w:id="0">
    <w:p w14:paraId="44F99069" w14:textId="77777777" w:rsidR="00B77D01" w:rsidRDefault="00B7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3F9D1E0A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</w:t>
          </w:r>
          <w:r w:rsidR="00763240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14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763240">
            <w:rPr>
              <w:rFonts w:ascii="Tahoma" w:hAnsi="Tahoma" w:cs="Tahoma"/>
              <w:b/>
              <w:color w:val="FFFFFF"/>
              <w:sz w:val="18"/>
              <w:szCs w:val="18"/>
            </w:rPr>
            <w:t>Στέλεχος Τεχνικής Βοήθειας</w:t>
          </w:r>
          <w:r w:rsidR="00E73A69" w:rsidRPr="00E73A6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  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  </w:t>
          </w:r>
          <w:r w:rsidR="00CA3E4D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</w:t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763240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3δ4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DA"/>
    <w:multiLevelType w:val="hybridMultilevel"/>
    <w:tmpl w:val="BFE420EC"/>
    <w:lvl w:ilvl="0" w:tplc="6C9E70A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85741"/>
    <w:multiLevelType w:val="hybridMultilevel"/>
    <w:tmpl w:val="426A51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F080464"/>
    <w:multiLevelType w:val="hybridMultilevel"/>
    <w:tmpl w:val="430EF7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20"/>
  </w:num>
  <w:num w:numId="11">
    <w:abstractNumId w:val="24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22"/>
  </w:num>
  <w:num w:numId="18">
    <w:abstractNumId w:val="7"/>
  </w:num>
  <w:num w:numId="19">
    <w:abstractNumId w:val="5"/>
  </w:num>
  <w:num w:numId="20">
    <w:abstractNumId w:val="18"/>
  </w:num>
  <w:num w:numId="21">
    <w:abstractNumId w:val="9"/>
  </w:num>
  <w:num w:numId="22">
    <w:abstractNumId w:val="21"/>
  </w:num>
  <w:num w:numId="23">
    <w:abstractNumId w:val="16"/>
  </w:num>
  <w:num w:numId="24">
    <w:abstractNumId w:val="0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63C63"/>
    <w:rsid w:val="00074B13"/>
    <w:rsid w:val="000906E5"/>
    <w:rsid w:val="000A1FE8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D19B3"/>
    <w:rsid w:val="001D46B6"/>
    <w:rsid w:val="00210607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03A7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3F3791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779"/>
    <w:rsid w:val="004C59FC"/>
    <w:rsid w:val="004C789F"/>
    <w:rsid w:val="004D0F97"/>
    <w:rsid w:val="004D11B2"/>
    <w:rsid w:val="004F03C8"/>
    <w:rsid w:val="004F1F5C"/>
    <w:rsid w:val="004F23F0"/>
    <w:rsid w:val="004F4764"/>
    <w:rsid w:val="004F6F3B"/>
    <w:rsid w:val="00501F94"/>
    <w:rsid w:val="005103F9"/>
    <w:rsid w:val="00512B01"/>
    <w:rsid w:val="005207AB"/>
    <w:rsid w:val="00530763"/>
    <w:rsid w:val="00530AC2"/>
    <w:rsid w:val="00546247"/>
    <w:rsid w:val="00546CAB"/>
    <w:rsid w:val="00556933"/>
    <w:rsid w:val="005600E6"/>
    <w:rsid w:val="0056644D"/>
    <w:rsid w:val="00566D09"/>
    <w:rsid w:val="0057457B"/>
    <w:rsid w:val="00575BA2"/>
    <w:rsid w:val="005939B8"/>
    <w:rsid w:val="005B5103"/>
    <w:rsid w:val="005B54F6"/>
    <w:rsid w:val="005C472C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50437"/>
    <w:rsid w:val="0075493E"/>
    <w:rsid w:val="007628F0"/>
    <w:rsid w:val="00763240"/>
    <w:rsid w:val="00763ED3"/>
    <w:rsid w:val="007773C0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46C2"/>
    <w:rsid w:val="008064DF"/>
    <w:rsid w:val="00810A2E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3868"/>
    <w:rsid w:val="0092743D"/>
    <w:rsid w:val="0093059D"/>
    <w:rsid w:val="00942C78"/>
    <w:rsid w:val="009550B1"/>
    <w:rsid w:val="009564D3"/>
    <w:rsid w:val="00964968"/>
    <w:rsid w:val="009A7E78"/>
    <w:rsid w:val="009B2E41"/>
    <w:rsid w:val="009B6B06"/>
    <w:rsid w:val="009B6BFF"/>
    <w:rsid w:val="009C3173"/>
    <w:rsid w:val="009C3262"/>
    <w:rsid w:val="009D25FC"/>
    <w:rsid w:val="009E0049"/>
    <w:rsid w:val="009E2422"/>
    <w:rsid w:val="009E309E"/>
    <w:rsid w:val="009E7870"/>
    <w:rsid w:val="00A047E2"/>
    <w:rsid w:val="00A11E1A"/>
    <w:rsid w:val="00A16781"/>
    <w:rsid w:val="00A35E09"/>
    <w:rsid w:val="00A37E1D"/>
    <w:rsid w:val="00A40080"/>
    <w:rsid w:val="00A45A76"/>
    <w:rsid w:val="00A46230"/>
    <w:rsid w:val="00A57134"/>
    <w:rsid w:val="00A61EC7"/>
    <w:rsid w:val="00A6791B"/>
    <w:rsid w:val="00A81A6A"/>
    <w:rsid w:val="00A935BA"/>
    <w:rsid w:val="00A9493D"/>
    <w:rsid w:val="00AA5E1F"/>
    <w:rsid w:val="00AB040A"/>
    <w:rsid w:val="00AB2F3D"/>
    <w:rsid w:val="00AB488F"/>
    <w:rsid w:val="00AB55D8"/>
    <w:rsid w:val="00AF1FE0"/>
    <w:rsid w:val="00B01556"/>
    <w:rsid w:val="00B05C4E"/>
    <w:rsid w:val="00B23E30"/>
    <w:rsid w:val="00B63BB5"/>
    <w:rsid w:val="00B64900"/>
    <w:rsid w:val="00B65F1E"/>
    <w:rsid w:val="00B71454"/>
    <w:rsid w:val="00B722CD"/>
    <w:rsid w:val="00B77D01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F189A"/>
    <w:rsid w:val="00BF2673"/>
    <w:rsid w:val="00BF563F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77F68"/>
    <w:rsid w:val="00C80D82"/>
    <w:rsid w:val="00C844B7"/>
    <w:rsid w:val="00C8511D"/>
    <w:rsid w:val="00CA377F"/>
    <w:rsid w:val="00CA3E4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CF2EE0"/>
    <w:rsid w:val="00D000E8"/>
    <w:rsid w:val="00D07B28"/>
    <w:rsid w:val="00D15E42"/>
    <w:rsid w:val="00D200D1"/>
    <w:rsid w:val="00D3121C"/>
    <w:rsid w:val="00D41A57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4E49"/>
    <w:rsid w:val="00E3573B"/>
    <w:rsid w:val="00E406E4"/>
    <w:rsid w:val="00E43F71"/>
    <w:rsid w:val="00E46BF8"/>
    <w:rsid w:val="00E47ADD"/>
    <w:rsid w:val="00E71BED"/>
    <w:rsid w:val="00E726E3"/>
    <w:rsid w:val="00E73A69"/>
    <w:rsid w:val="00E834A5"/>
    <w:rsid w:val="00E94195"/>
    <w:rsid w:val="00E95976"/>
    <w:rsid w:val="00EA1325"/>
    <w:rsid w:val="00EA42D5"/>
    <w:rsid w:val="00EB3AC1"/>
    <w:rsid w:val="00EB5FBD"/>
    <w:rsid w:val="00EE2BA9"/>
    <w:rsid w:val="00EF15AF"/>
    <w:rsid w:val="00EF261E"/>
    <w:rsid w:val="00F03242"/>
    <w:rsid w:val="00F03CE7"/>
    <w:rsid w:val="00F11041"/>
    <w:rsid w:val="00F1328D"/>
    <w:rsid w:val="00F23FA9"/>
    <w:rsid w:val="00F354C5"/>
    <w:rsid w:val="00F40948"/>
    <w:rsid w:val="00F609C1"/>
    <w:rsid w:val="00F6124D"/>
    <w:rsid w:val="00F6314E"/>
    <w:rsid w:val="00F64AC4"/>
    <w:rsid w:val="00F72DF3"/>
    <w:rsid w:val="00F73D71"/>
    <w:rsid w:val="00F82807"/>
    <w:rsid w:val="00F83C07"/>
    <w:rsid w:val="00F9164A"/>
    <w:rsid w:val="00F91F46"/>
    <w:rsid w:val="00F938AE"/>
    <w:rsid w:val="00F94A7E"/>
    <w:rsid w:val="00FA5205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3705AF-DF7A-4048-9719-4B6B1AC7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4</cp:revision>
  <cp:lastPrinted>2016-11-03T11:06:00Z</cp:lastPrinted>
  <dcterms:created xsi:type="dcterms:W3CDTF">2016-11-03T12:59:00Z</dcterms:created>
  <dcterms:modified xsi:type="dcterms:W3CDTF">2017-03-09T09:06:00Z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