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584E2996" w:rsidR="007B4971" w:rsidRPr="003B31A2" w:rsidRDefault="007B4971" w:rsidP="00846539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8465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Επιλογή1"/>
            <w:r w:rsidR="008465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B25500">
              <w:rPr>
                <w:rFonts w:ascii="Tahoma" w:hAnsi="Tahoma" w:cs="Tahoma"/>
                <w:sz w:val="16"/>
                <w:szCs w:val="16"/>
              </w:rPr>
            </w:r>
            <w:r w:rsidR="00B255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653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06BB6E70" w:rsidR="003748B1" w:rsidRDefault="00967A7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</w:t>
            </w:r>
            <w:r w:rsidR="003748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7BC752A4" w:rsidR="003748B1" w:rsidRPr="00C8511D" w:rsidRDefault="00846539" w:rsidP="00C80D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Προϊστάμενος Μονάδας Δ</w:t>
            </w:r>
            <w:r w:rsidR="00CE60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</w:t>
            </w:r>
            <w:r w:rsidR="00CC07DB" w:rsidRPr="00CC07DB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CC07DB" w:rsidRPr="00CC07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Οργάνωσης και Υποστήριξης                            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75F6E5C0" w:rsidR="003748B1" w:rsidRPr="000E0754" w:rsidRDefault="00846539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Τα στελέχη της Μονάδας Δ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242B24A7" w:rsidR="003748B1" w:rsidRPr="000E0754" w:rsidRDefault="00846539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Τον κατά βαθμό ανώτερο υπάλληλο της Μονάδας. Σε περίπτωση ομοιοβάθμων, αναπληρωτής είναι ο υπάλληλος που έχει τον περισσότερο χρόνο υπηρεσίας στο βαθμό.</w:t>
            </w: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6C0168E1" w:rsidR="003748B1" w:rsidRPr="000E0754" w:rsidRDefault="00846539" w:rsidP="007774BF">
            <w:pPr>
              <w:rPr>
                <w:rFonts w:ascii="Tahoma" w:hAnsi="Tahoma" w:cs="Tahoma"/>
                <w:sz w:val="16"/>
                <w:szCs w:val="16"/>
              </w:rPr>
            </w:pPr>
            <w:r w:rsidRPr="005E4155">
              <w:rPr>
                <w:rFonts w:ascii="Tahoma" w:hAnsi="Tahoma" w:cs="Tahoma"/>
                <w:bCs/>
                <w:sz w:val="16"/>
                <w:szCs w:val="16"/>
              </w:rPr>
              <w:t xml:space="preserve">Ο έχων τη συνολική ευθύνη για τη λειτουργία και την αποτελεσματικότητα της Μονάδας και το συντονισμό των ενεργειών οργάνωσης/ υποστήριξης της Ειδικής Υπηρεσίας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(ΕΥ) </w:t>
            </w:r>
            <w:r w:rsidRPr="005E4155">
              <w:rPr>
                <w:rFonts w:ascii="Tahoma" w:hAnsi="Tahoma" w:cs="Tahoma"/>
                <w:bCs/>
                <w:sz w:val="16"/>
                <w:szCs w:val="16"/>
              </w:rPr>
              <w:t xml:space="preserve">εισηγούμενος για τα παραπάνω θέματα στον Προϊστάμενο της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ΕΥ.</w:t>
            </w:r>
          </w:p>
        </w:tc>
      </w:tr>
    </w:tbl>
    <w:p w14:paraId="7C9DD422" w14:textId="77777777" w:rsidR="003748B1" w:rsidRDefault="003748B1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24" w14:textId="77777777" w:rsidTr="001D19B3">
        <w:trPr>
          <w:trHeight w:val="290"/>
        </w:trPr>
        <w:tc>
          <w:tcPr>
            <w:tcW w:w="4979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1D19B3">
        <w:trPr>
          <w:trHeight w:val="1714"/>
        </w:trPr>
        <w:tc>
          <w:tcPr>
            <w:tcW w:w="497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9E3088A" w14:textId="77777777" w:rsidR="00846539" w:rsidRPr="00EE0399" w:rsidRDefault="00846539" w:rsidP="00846539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0399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Θέματα προσωπικού </w:t>
            </w:r>
          </w:p>
          <w:p w14:paraId="75CB81F4" w14:textId="77777777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Διαχείριση θεμάτων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προσωπικού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7314C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σε συνεργασία 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με Προϊσταμένους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άλλων Μονάδων 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Προϊστάμενο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ΕΥΔ. </w:t>
            </w:r>
          </w:p>
          <w:p w14:paraId="1B455618" w14:textId="73C55EF4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 χαρτογράφηση του</w:t>
            </w: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προσωπικού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της ΕΥΔ, και τη δημιουργία / τήρηση αρχείου προσωπικού, συμπεριλαμβανομένων των καταλόγων υπόχρεων σε δήλωση μη σύγκρουσης συμφερόντων και δήλωση περιουσιακής κατάστασης. </w:t>
            </w:r>
          </w:p>
          <w:p w14:paraId="4E049223" w14:textId="77777777" w:rsidR="00846539" w:rsidRPr="00CC07DB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C07D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παρακολούθηση και σύνταξη αναφορών σχετικά με την εφαρμογή της διαδικασίας εναλλαγής προσωπικού σε ευαίσθητες θέσεις εργασίας και ενημέρωση της ΜΟΔ.</w:t>
            </w:r>
          </w:p>
          <w:p w14:paraId="20672421" w14:textId="77777777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για προγραμματισμό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οργάνωση προγραμμάτων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εκπαίδευσης</w:t>
            </w:r>
            <w:r w:rsidRPr="007314C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προσωπικού της ΕΥΔ. </w:t>
            </w:r>
          </w:p>
          <w:p w14:paraId="2FE1D08B" w14:textId="77777777" w:rsidR="00846539" w:rsidRPr="0092661C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 διαμόρφωση χώρων σε συνεργασία με τη ΜΟΔ.</w:t>
            </w:r>
          </w:p>
          <w:p w14:paraId="050A3413" w14:textId="77777777" w:rsidR="00846539" w:rsidRPr="00247A69" w:rsidRDefault="00846539" w:rsidP="00846539">
            <w:pPr>
              <w:numPr>
                <w:ilvl w:val="0"/>
                <w:numId w:val="4"/>
              </w:numPr>
              <w:spacing w:before="120" w:after="240"/>
              <w:ind w:left="318" w:hanging="284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 λειτουργικότητα και συντήρηση των εγκαταστάσεων</w:t>
            </w:r>
            <w:r w:rsidRPr="007314C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της υλικοτεχνικής υποδομής.</w:t>
            </w:r>
          </w:p>
          <w:p w14:paraId="737C6CA1" w14:textId="77777777" w:rsidR="00846539" w:rsidRPr="00EE0399" w:rsidRDefault="00846539" w:rsidP="00846539">
            <w:pPr>
              <w:spacing w:before="120"/>
              <w:ind w:left="357" w:hanging="323"/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</w:rPr>
            </w:pPr>
            <w:r w:rsidRPr="00EE039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</w:rPr>
              <w:t xml:space="preserve">Διοικητική υποστήριξη  </w:t>
            </w:r>
          </w:p>
          <w:p w14:paraId="07605161" w14:textId="77777777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οργάνωση της διοικητικής και γραμματειακής υποστήριξης της ΕΥΔ.  </w:t>
            </w:r>
          </w:p>
          <w:p w14:paraId="151EB781" w14:textId="77777777" w:rsidR="00846539" w:rsidRPr="003F3E9D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 διοργάνωση και υποστήριξη των συνεδριάσεων της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Επ.Πα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και τεχνικών συναντήσεων. </w:t>
            </w:r>
          </w:p>
          <w:p w14:paraId="56728B5B" w14:textId="77777777" w:rsidR="00846539" w:rsidRDefault="00846539" w:rsidP="00846539">
            <w:pPr>
              <w:spacing w:before="120" w:after="120"/>
              <w:ind w:left="720"/>
              <w:contextualSpacing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03590472" w14:textId="77777777" w:rsidR="00846539" w:rsidRDefault="00846539" w:rsidP="00846539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E0399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Λειτουργία ΟΠΣ και πληροφορικών συστημάτων</w:t>
            </w:r>
          </w:p>
          <w:p w14:paraId="090C297D" w14:textId="2732CA31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</w:t>
            </w:r>
            <w:r w:rsidR="005569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την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</w:t>
            </w:r>
            <w:r w:rsidRPr="00EF682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ργάνωση</w:t>
            </w:r>
            <w:r w:rsidRPr="007314C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</w:t>
            </w:r>
            <w:r w:rsidR="005569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λειτουργία Γραφείου ΟΠΣ, για την ορθή και απρόσκοπτη λειτουργία του ΟΠΣ, του Πληροφοριακού Συστήματος της Επιτροπής (</w:t>
            </w:r>
            <w:r w:rsidR="00556933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SFC</w:t>
            </w:r>
            <w:r w:rsidR="00556933" w:rsidRPr="005569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</w:t>
            </w:r>
            <w:r w:rsidR="00CE601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του Πληροφοριακού Συστήματος Κρατικών Ενισχύσεων (ΠΣΚΕ)</w:t>
            </w:r>
            <w:r w:rsidR="005569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των λοιπών πληροφοριακών συστημάτων της ΕΥ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32A049FF" w14:textId="244409F6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Συντονισμός / εποπτεία ενεργειών υποστήριξης του 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προσωπικ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ού 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ΕΥΔ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μελών 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</w:t>
            </w:r>
            <w:proofErr w:type="spellStart"/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</w:t>
            </w:r>
            <w:proofErr w:type="spellEnd"/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 Παρακολούθησης του ΕΠ εφόσον απαιτείται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στη χρήση της επιχειρησιακής πλατφόρμας ΔΙΑΥΛΟΣ</w:t>
            </w:r>
            <w:r w:rsidR="005569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ευθύνη για την ανάρτηση εγγράφων.</w:t>
            </w:r>
          </w:p>
          <w:p w14:paraId="4A438E35" w14:textId="3BE247A6" w:rsidR="00846539" w:rsidRPr="004B0E6B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Συντονισμός / εποπτεία </w:t>
            </w:r>
            <w:r w:rsidR="005569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ενεργειών τεχνικής 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εκπαίδευση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643AF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προσωπικ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ού τ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ης ΕΥΔ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στον τρόπο λειτουργίας/ χρήση των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πληροφοριακών συστημάτων, των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λογισμικών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του Δίαυλου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του ΟΠΣ.</w:t>
            </w:r>
          </w:p>
          <w:p w14:paraId="1CB3678A" w14:textId="77777777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Μέριμνα για την εγκατάσταση, την καλή λειτουργία και τη συντήρηση των πληροφοριακών συστημάτων στα οποία έχει πρόσβαση το προσωπικό της ΕΥΔ. </w:t>
            </w:r>
          </w:p>
          <w:p w14:paraId="2997DC45" w14:textId="77777777" w:rsidR="00846539" w:rsidRPr="004B0E6B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Εισήγηση </w:t>
            </w:r>
            <w:r w:rsidRPr="004B0E6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σκοπιμότητας προμήθειας συστημάτων και εξοπλισμού πληροφορικής και επικοινωνιών της ΕΥΔ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66D762A9" w14:textId="77777777" w:rsidR="000D3DB7" w:rsidRDefault="000D3DB7" w:rsidP="000D3DB7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  <w:p w14:paraId="4BF3D282" w14:textId="77777777" w:rsidR="00846539" w:rsidRDefault="00846539" w:rsidP="000D3DB7">
            <w:pPr>
              <w:spacing w:before="240" w:after="120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EE0399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Εφαρμογή δράσεων Τεχνικής Βοήθειας</w:t>
            </w:r>
          </w:p>
          <w:p w14:paraId="63DF9506" w14:textId="618782C9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κατάρτισης του προγράμματος ενεργειών Τεχνικής Βοήθειας </w:t>
            </w:r>
            <w:r w:rsidR="00536B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</w:t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ΕΠ (σε συνεργασία με τις άλλες Μονάδες της ΕΥΔ) για την υποβολή του προς έγκριση.</w:t>
            </w:r>
          </w:p>
          <w:p w14:paraId="1512108A" w14:textId="5330D95C" w:rsidR="00CE6014" w:rsidRPr="00AD07ED" w:rsidRDefault="00CE6014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κατάρτισης του ετήσιου προγράμματος ενεργειών τεχνικής βοήθειας (ΤΒ) σε συνεργασία με τις άλλες Μονάδες και την υποβολή του προς έγκριση</w:t>
            </w:r>
          </w:p>
          <w:p w14:paraId="1364F22E" w14:textId="77777777" w:rsidR="00846539" w:rsidRPr="00AD07ED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κατάρτισης του ετήσιου προγράμματος ενεργειών Τεχνικής Βοήθειας που χρηματοδοτείται από αμιγώς εθνικούς πόρους για την υποβολή του προς έγκριση.</w:t>
            </w:r>
          </w:p>
          <w:p w14:paraId="22AB90E0" w14:textId="214D4179" w:rsidR="00846539" w:rsidRPr="00556933" w:rsidRDefault="00846539" w:rsidP="00556933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ορθής εκτέλεσης των Πράξεων Τεχνικής Βοήθειας, σύμφωνα με τους όρους της Απόφασης Ένταξης και τα προβλεπόμενα στο ΣΔΕ</w:t>
            </w:r>
            <w:r w:rsidR="005569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και ελέγχου της ορθής διαδικασίας πληρωμών των πράξεων ΤΒ</w:t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2D544722" w14:textId="77777777" w:rsidR="00846539" w:rsidRPr="00AD07ED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τήρησης αρχείου παρεχόντων υπηρεσιών (εμπειρογνωμόνων, αξιολογητών, ελεγκτών, κλπ.) και προμηθευτών (αναδόχων ΤΒ).  </w:t>
            </w:r>
          </w:p>
          <w:p w14:paraId="1539AE48" w14:textId="2A4F1BA6" w:rsidR="00846539" w:rsidRPr="00AD07ED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παροχής στοιχείων των Πράξεων Τεχνικής Βοήθειας που υλοποιεί για τις ανάγκες των ελέγχων που διενεργούνται από ελεγκ</w:t>
            </w:r>
            <w:r w:rsidR="00F354C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τικά όργανα</w:t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</w:p>
          <w:p w14:paraId="60DFCC35" w14:textId="77777777" w:rsidR="00846539" w:rsidRPr="00AD07ED" w:rsidRDefault="00846539" w:rsidP="00846539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Ορισμός Υπεύθυνου Λογαριασμού και Εισηγητή Εκκαθάρισης (δύναται να είναι το ίδιο φυσικό πρόσωπο και να ασκεί και παράλληλα καθήκοντα).</w:t>
            </w:r>
          </w:p>
          <w:p w14:paraId="04A9F51C" w14:textId="77777777" w:rsidR="00846539" w:rsidRPr="00EE0399" w:rsidRDefault="00846539" w:rsidP="00846539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0399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Διοίκηση και Οργάνωση</w:t>
            </w:r>
          </w:p>
          <w:p w14:paraId="072CDD36" w14:textId="77777777" w:rsidR="00846539" w:rsidRPr="00AD07ED" w:rsidRDefault="00846539" w:rsidP="00846539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του ρόλου του Προϊσταμένου της ΕΥΔ.</w:t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</w:p>
          <w:p w14:paraId="5F2F1045" w14:textId="5A28D422" w:rsidR="00846539" w:rsidRPr="00AD07ED" w:rsidRDefault="00846539" w:rsidP="00846539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Σχεδιασμός, οργάνωση, συ</w:t>
            </w:r>
            <w:r w:rsidR="00F354C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ντονισμός εργασιών της Μονάδας Δ</w:t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2B9014FD" w14:textId="77777777" w:rsidR="00846539" w:rsidRPr="00AD07ED" w:rsidRDefault="00846539" w:rsidP="00846539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Διοίκηση προσωπικού και κατανομή εργασιών στο προσωπικό της Μονάδας λαμβάνοντας υπόψη τον όγκο της εργασίας και τις δεξιότητες των στελεχών.</w:t>
            </w:r>
          </w:p>
          <w:p w14:paraId="5181F34B" w14:textId="71CA6CBF" w:rsidR="00846539" w:rsidRPr="00AD07ED" w:rsidRDefault="00846539" w:rsidP="00846539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Διάγνωση και αποτύπωση των αναγκών εκπαίδευσης/ κατάρτι</w:t>
            </w:r>
            <w:r w:rsidR="00D70A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σης του προσωπικού της Μονάδας Δ</w:t>
            </w:r>
            <w:r w:rsidRPr="00AD07E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015F65BB" w14:textId="77777777" w:rsidR="00846539" w:rsidRPr="00AD07ED" w:rsidRDefault="00846539" w:rsidP="00846539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796CC4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Άλλα Καθήκοντα</w:t>
            </w:r>
          </w:p>
          <w:p w14:paraId="43CE7679" w14:textId="029111AE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Συνεργασία με ΕΑΣ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ΕΕ και </w:t>
            </w: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παροχή όλων των αναγκαίων πλ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</w:t>
            </w:r>
            <w:r w:rsidR="00D70A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ροφοριών σε θέματα της Μονάδας Δ</w:t>
            </w: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62A3DAFF" w14:textId="77777777" w:rsidR="00846539" w:rsidRPr="00EF2355" w:rsidRDefault="00846539" w:rsidP="00846539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57C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προς ΕΑΣ για λήψη</w:t>
            </w:r>
            <w:r w:rsidRPr="00EF235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μέτρων βελτίωσης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συστήματος </w:t>
            </w:r>
            <w:r w:rsidRPr="00EF235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διαχείρισης και ελέγχου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4315422D" w14:textId="77777777" w:rsidR="00846539" w:rsidRPr="00CB14A7" w:rsidRDefault="00846539" w:rsidP="00846539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B14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την </w:t>
            </w:r>
            <w:r w:rsidRPr="00CB14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εξασφάλιση υποστήριξης,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σε</w:t>
            </w:r>
            <w:r w:rsidRPr="00CB14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ειδικές περιπτώσεις (εξειδικευμένα ή πολύπλοκα έργα) και προσδιορισμό του είδους της εξωτερικής συνδρομής (χρησιμοποίηση εμπειρογνωμόνων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</w:t>
            </w:r>
            <w:r w:rsidRPr="00CB14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λπ.)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21989483" w14:textId="30957F10" w:rsidR="00846539" w:rsidRPr="005F6CF9" w:rsidRDefault="00846539" w:rsidP="00846539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F6C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τήρηση αρχείων των θεμάτων αρμοδιότητ</w:t>
            </w:r>
            <w:r w:rsidR="00D70A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ας της Μονάδας Δ καθώς και την οργάνωση βιβλιοθήκης με το απαραίτητο υποστηρικτικό υλικό για το προσωπικό της ΕΥΔ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75862919" w14:textId="09DE53C7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άλιση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συλλογή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έγκαιρη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καταχώρηση στο ΟΠΣ των απαραίτητων δεδομένων που αφορούν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στις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αρμοδιότητ</w:t>
            </w:r>
            <w:r w:rsidR="00D70A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ες της Μονάδας Δ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  <w:r w:rsidRPr="006C12B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ακρίβεια, την ποιότητα και πληρότητα των στοιχείων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καταχωρίζει</w:t>
            </w:r>
            <w:r w:rsidRPr="006C12B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στο ΟΠΣ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36E3972C" w14:textId="77777777" w:rsidR="00846539" w:rsidRDefault="00846539" w:rsidP="00846539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την έκδοση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όλ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 α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παραίτητ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εγγράφων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αποφάσε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προβλέπονται από το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ΣΔΕ.</w:t>
            </w:r>
          </w:p>
          <w:p w14:paraId="6E5D9969" w14:textId="77777777" w:rsidR="00CE6014" w:rsidRDefault="00846539" w:rsidP="00CE6014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εκ</w:t>
            </w:r>
            <w:r w:rsidRPr="00541B1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πόνησης μελετών, ερευνών, εμπειρογνωμοσυνών, εγχειριδίων διαδικασιών σχετικών με το αντικείμεν</w:t>
            </w:r>
            <w:r w:rsidR="00D70A4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 της Μονάδας Δ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6EE01DB8" w14:textId="0E0548D2" w:rsidR="00CE6014" w:rsidRPr="00CE6014" w:rsidRDefault="00CE6014" w:rsidP="00CE6014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E601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Θεματικά Δίκτυα καθώς και σε </w:t>
            </w:r>
            <w:r w:rsidRPr="00CE601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Επιτροπές και Ομάδες Εργασίας που συγκροτούνται, κατά περίπτωση, στο πλαίσιο λειτουργίας της ΕΥΔ και του ΕΣΠΑ.</w:t>
            </w:r>
          </w:p>
          <w:p w14:paraId="6FF0C941" w14:textId="77777777" w:rsidR="000D3DB7" w:rsidRDefault="00CE6014" w:rsidP="000D3DB7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E601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συναντήσεις.</w:t>
            </w:r>
          </w:p>
          <w:p w14:paraId="010B551F" w14:textId="77777777" w:rsidR="000D3DB7" w:rsidRDefault="000D3DB7" w:rsidP="000D3DB7">
            <w:pPr>
              <w:spacing w:before="120" w:after="120"/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7C9DD444" w14:textId="0FC38194" w:rsidR="000D3DB7" w:rsidRPr="001D19B3" w:rsidRDefault="000D3DB7" w:rsidP="000D3DB7">
            <w:pPr>
              <w:spacing w:before="120" w:after="120"/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49"/>
        <w:tblW w:w="4985" w:type="pct"/>
        <w:tblLayout w:type="fixed"/>
        <w:tblLook w:val="0000" w:firstRow="0" w:lastRow="0" w:firstColumn="0" w:lastColumn="0" w:noHBand="0" w:noVBand="0"/>
      </w:tblPr>
      <w:tblGrid>
        <w:gridCol w:w="8496"/>
      </w:tblGrid>
      <w:tr w:rsidR="001D19B3" w:rsidRPr="009550B1" w14:paraId="7CF47B81" w14:textId="77777777" w:rsidTr="001D19B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6B4CD0D5" w14:textId="77777777" w:rsidR="001D19B3" w:rsidRPr="009550B1" w:rsidRDefault="001D19B3" w:rsidP="001D19B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2. ΣΧΕΣΕΙΣ ΣΥΝΕΡΓΑΣΙΑΣ</w:t>
            </w:r>
          </w:p>
        </w:tc>
      </w:tr>
      <w:tr w:rsidR="001D19B3" w:rsidRPr="00371252" w14:paraId="245850A2" w14:textId="77777777" w:rsidTr="001D19B3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114104" w14:textId="5111BD3C" w:rsidR="001D19B3" w:rsidRPr="00D70A4D" w:rsidRDefault="001D19B3" w:rsidP="00D70A4D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Υπηρεσίες 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Εθνική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Αρχή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Συντονισμού</w:t>
            </w:r>
          </w:p>
          <w:p w14:paraId="30F7E19D" w14:textId="77777777" w:rsidR="001D19B3" w:rsidRDefault="001D19B3" w:rsidP="001D19B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37EB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ΕΔΕΛ</w:t>
            </w:r>
          </w:p>
          <w:p w14:paraId="75D60AAA" w14:textId="2F640C74" w:rsidR="00D70A4D" w:rsidRPr="00637EB7" w:rsidRDefault="00D70A4D" w:rsidP="001D19B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ΜΟΔ</w:t>
            </w:r>
          </w:p>
          <w:p w14:paraId="04E51F35" w14:textId="41F88368" w:rsidR="001D19B3" w:rsidRPr="00D70A4D" w:rsidRDefault="001D19B3" w:rsidP="00D70A4D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37EB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Ευρωπαϊκή Επιτροπ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ή</w:t>
            </w:r>
          </w:p>
          <w:p w14:paraId="64EAF225" w14:textId="77777777" w:rsidR="001D19B3" w:rsidRPr="00074B13" w:rsidRDefault="001D19B3" w:rsidP="001D19B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Ελεγκτικά όργανα / φορείς </w:t>
            </w:r>
          </w:p>
        </w:tc>
      </w:tr>
    </w:tbl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20D524B8" w:rsidR="00281DD5" w:rsidRPr="00676765" w:rsidRDefault="00281DD5" w:rsidP="00CB4919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3. ΠΡΟΣΟΝΤΑ ΚΑΛΥΨΗΣ ΘΕΣΗΣ ΕΡΓΑΣΙΑΣ 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235C23C6" w:rsidR="00281DD5" w:rsidRPr="00295DF2" w:rsidRDefault="00CB4919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="00281DD5"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CB4919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5375289" w14:textId="77777777" w:rsidR="00CB4919" w:rsidRPr="002A615F" w:rsidRDefault="00CB4919" w:rsidP="00BF2797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2A615F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5666113C" w14:textId="77777777" w:rsidR="00CB4919" w:rsidRPr="002A615F" w:rsidRDefault="00CB4919" w:rsidP="00BF2797">
            <w:p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1. Πτυχίο ή δίπλωμα Α.Ε.Ι (ΠΕ</w:t>
            </w:r>
            <w:r w:rsidRPr="0065387D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2A615F">
              <w:rPr>
                <w:rFonts w:ascii="Tahoma" w:hAnsi="Tahoma" w:cs="Tahoma"/>
                <w:sz w:val="18"/>
                <w:szCs w:val="18"/>
              </w:rPr>
              <w:t>) της ημεδαπής ή ισότιμου διπλώματος ιδρύματος της αλλοδαπής</w:t>
            </w:r>
          </w:p>
          <w:p w14:paraId="24AFFEDE" w14:textId="77777777" w:rsidR="00CB4919" w:rsidRPr="002A615F" w:rsidRDefault="00CB4919" w:rsidP="00BF2797">
            <w:p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 xml:space="preserve">2. Επαγγελματική εμπειρία </w:t>
            </w:r>
          </w:p>
          <w:p w14:paraId="0ED15CD9" w14:textId="77777777" w:rsidR="00CB4919" w:rsidRPr="002A615F" w:rsidRDefault="00CB4919" w:rsidP="00CB4919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ind w:hanging="184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8ετής για τους κατόχους πτυχίου ή διπλώματος της ημεδαπής ή ισότιμου ιδρύματος της αλλοδαπής</w:t>
            </w:r>
          </w:p>
          <w:p w14:paraId="10E3AE47" w14:textId="77777777" w:rsidR="00CB4919" w:rsidRPr="002A615F" w:rsidRDefault="00CB4919" w:rsidP="00CB4919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ind w:hanging="184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6ετής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14:paraId="09A18B2D" w14:textId="77777777" w:rsidR="00CB4919" w:rsidRPr="002A615F" w:rsidRDefault="00CB4919" w:rsidP="00CB4919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ind w:hanging="184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5ετής για τους κατόχους διδακτορικού διπλώματος της ημεδαπής ή ισότιμου της αλλοδαπής</w:t>
            </w:r>
          </w:p>
          <w:p w14:paraId="1564E55D" w14:textId="77777777" w:rsidR="00CB4919" w:rsidRPr="002A615F" w:rsidRDefault="00CB4919" w:rsidP="00BF2797">
            <w:pPr>
              <w:ind w:left="612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5ABFD41C" w14:textId="77777777" w:rsidR="00CB4919" w:rsidRPr="002A615F" w:rsidRDefault="00CB4919" w:rsidP="00BF2797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2A615F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0C392046" w14:textId="77777777" w:rsidR="00CB4919" w:rsidRPr="002A615F" w:rsidRDefault="00CB4919" w:rsidP="00BF279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Καλή γνώση ή/και εμπειρία επί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στα θεματικά αντικείμενα του τομέα ευθύνης της Ε.Υ.</w:t>
            </w:r>
          </w:p>
          <w:p w14:paraId="0697D8B4" w14:textId="77777777" w:rsidR="00CB4919" w:rsidRPr="002A615F" w:rsidRDefault="00CB4919" w:rsidP="00BF279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Γνώση ή/και εμπειρία του θεσμικού πλαισίου Δημοσίων Συμβάσεων</w:t>
            </w:r>
          </w:p>
          <w:p w14:paraId="0A611882" w14:textId="77777777" w:rsidR="00CB4919" w:rsidRPr="002A615F" w:rsidRDefault="00CB4919" w:rsidP="00BF279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Ικανότητα διοίκησης και οργάνωσης</w:t>
            </w:r>
          </w:p>
          <w:p w14:paraId="49F5DFA9" w14:textId="77777777" w:rsidR="00CB4919" w:rsidRPr="002A615F" w:rsidRDefault="00CB4919" w:rsidP="00BF279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78922537" w14:textId="77777777" w:rsidR="00CB4919" w:rsidRPr="002A615F" w:rsidRDefault="00CB4919" w:rsidP="00BF279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 xml:space="preserve">Ικανότητα παρακίνησης υφισταμένων και εστίασης στο αποτέλεσμα </w:t>
            </w:r>
          </w:p>
          <w:p w14:paraId="19AAB27B" w14:textId="77777777" w:rsidR="00CB4919" w:rsidRPr="002A615F" w:rsidRDefault="00CB4919" w:rsidP="00BF279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Ικανότητα επικοινωνίας και ευελιξίας</w:t>
            </w:r>
          </w:p>
          <w:p w14:paraId="448DEA21" w14:textId="77777777" w:rsidR="00CB4919" w:rsidRPr="002A615F" w:rsidRDefault="00CB4919" w:rsidP="00BF279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Καλή γνώση μίας ξένης κοινοτικής γλώσσας</w:t>
            </w:r>
          </w:p>
          <w:p w14:paraId="135BDED7" w14:textId="77777777" w:rsidR="00CB4919" w:rsidRPr="002A615F" w:rsidRDefault="00CB4919" w:rsidP="00BF279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Ικανότητα χρήσης εφαρμογών αυτοματισμού γραφείου, υπηρεσιών Internet</w:t>
            </w:r>
          </w:p>
          <w:p w14:paraId="46809255" w14:textId="77777777" w:rsidR="00CB4919" w:rsidRPr="002A615F" w:rsidRDefault="00CB4919" w:rsidP="00BF2797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Ικανότητα αντίληψης ηλεκτρονικών εφαρμογών παρακολούθησης διαδικασιών δημόσιου τομέα (π.χ. ΟΠΣ, ΠΣΚΕ -Πληροφοριακό σύστημα κρατικών ενισχύσεων)</w:t>
            </w:r>
          </w:p>
          <w:p w14:paraId="3CCEAD33" w14:textId="77777777" w:rsidR="00CB4919" w:rsidRPr="00791879" w:rsidRDefault="00CB4919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5D502128" w:rsidR="00281DD5" w:rsidRPr="00295DF2" w:rsidRDefault="00CB4919" w:rsidP="00CB4919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="00281DD5"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CB4919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6E6C0DCB" w14:textId="77777777" w:rsidR="00CB4919" w:rsidRPr="002A615F" w:rsidRDefault="00CB4919" w:rsidP="00CB4919">
            <w:pPr>
              <w:numPr>
                <w:ilvl w:val="0"/>
                <w:numId w:val="23"/>
              </w:numPr>
              <w:spacing w:before="120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της Ε.Υ. πεδίο </w:t>
            </w:r>
          </w:p>
          <w:p w14:paraId="425A1656" w14:textId="77777777" w:rsidR="00CB4919" w:rsidRPr="002A615F" w:rsidRDefault="00CB4919" w:rsidP="00CB4919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  <w:p w14:paraId="1B40EAD7" w14:textId="1517C92C" w:rsidR="00CB4919" w:rsidRPr="00791879" w:rsidRDefault="00CB4919" w:rsidP="00CB4919">
            <w:pPr>
              <w:numPr>
                <w:ilvl w:val="0"/>
                <w:numId w:val="2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Άσκηση αρμοδιοτήτων διοίκησης σε οποιοδήποτε επίπεδο</w:t>
            </w:r>
          </w:p>
        </w:tc>
      </w:tr>
    </w:tbl>
    <w:p w14:paraId="7C9DD456" w14:textId="2D537074" w:rsidR="006502E2" w:rsidRPr="00CC07DB" w:rsidRDefault="006502E2" w:rsidP="00CB4919">
      <w:pPr>
        <w:overflowPunct/>
        <w:autoSpaceDE/>
        <w:autoSpaceDN/>
        <w:adjustRightInd/>
        <w:jc w:val="left"/>
        <w:textAlignment w:val="auto"/>
      </w:pPr>
    </w:p>
    <w:sectPr w:rsidR="006502E2" w:rsidRPr="00CC07DB" w:rsidSect="00965CC7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46F9C" w14:textId="77777777" w:rsidR="00920A89" w:rsidRDefault="00920A89">
      <w:r>
        <w:separator/>
      </w:r>
    </w:p>
  </w:endnote>
  <w:endnote w:type="continuationSeparator" w:id="0">
    <w:p w14:paraId="4CFE8E42" w14:textId="77777777" w:rsidR="00920A89" w:rsidRDefault="009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E917E" w14:textId="77777777" w:rsidR="00965CC7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965CC7" w:rsidRPr="00662F0B" w14:paraId="5AF9538A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50B06684" w14:textId="14C0B555" w:rsidR="00965CC7" w:rsidRPr="00662F0B" w:rsidRDefault="00965CC7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>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1A59A455" w14:textId="3487729E" w:rsidR="00965CC7" w:rsidRPr="00233335" w:rsidRDefault="00965CC7" w:rsidP="008F3B3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B25500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7C020434" w14:textId="77777777" w:rsidR="00965CC7" w:rsidRPr="00662F0B" w:rsidRDefault="00965CC7" w:rsidP="008F3B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25500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746828FC" w14:textId="77777777" w:rsidR="00965CC7" w:rsidRPr="00662F0B" w:rsidRDefault="00965CC7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2A06C90C" wp14:editId="615BAB1F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05FC2971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ABC3" w14:textId="77777777" w:rsidR="00920A89" w:rsidRDefault="00920A89">
      <w:r>
        <w:separator/>
      </w:r>
    </w:p>
  </w:footnote>
  <w:footnote w:type="continuationSeparator" w:id="0">
    <w:p w14:paraId="0A4E549A" w14:textId="77777777" w:rsidR="00920A89" w:rsidRDefault="0092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05963671" w:rsidR="00B867C7" w:rsidRPr="00DA4FB1" w:rsidRDefault="00846539" w:rsidP="00846539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</w:t>
          </w:r>
          <w:r w:rsidR="00492D4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10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E34E49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Προϊστάμενος Μονάδας  Δ – Οργάνωσης και Υποστήριξης</w:t>
          </w:r>
          <w:r w:rsidR="00E34E4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</w:t>
          </w:r>
          <w:r w:rsidR="00CC07DB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2δ</w:t>
          </w:r>
          <w:r w:rsidR="00E34E4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</w:t>
          </w:r>
          <w:r w:rsidR="00E34E49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1D680D"/>
    <w:multiLevelType w:val="hybridMultilevel"/>
    <w:tmpl w:val="14F2F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9106175"/>
    <w:multiLevelType w:val="hybridMultilevel"/>
    <w:tmpl w:val="426C7F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6C12D5"/>
    <w:multiLevelType w:val="hybridMultilevel"/>
    <w:tmpl w:val="72EC41D2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D1C4C73"/>
    <w:multiLevelType w:val="hybridMultilevel"/>
    <w:tmpl w:val="0C28DFEC"/>
    <w:lvl w:ilvl="0" w:tplc="C3AAC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07822"/>
    <w:multiLevelType w:val="hybridMultilevel"/>
    <w:tmpl w:val="0486E62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8"/>
  </w:num>
  <w:num w:numId="7">
    <w:abstractNumId w:val="12"/>
  </w:num>
  <w:num w:numId="8">
    <w:abstractNumId w:val="0"/>
  </w:num>
  <w:num w:numId="9">
    <w:abstractNumId w:val="18"/>
  </w:num>
  <w:num w:numId="10">
    <w:abstractNumId w:val="19"/>
  </w:num>
  <w:num w:numId="11">
    <w:abstractNumId w:val="23"/>
  </w:num>
  <w:num w:numId="12">
    <w:abstractNumId w:val="9"/>
  </w:num>
  <w:num w:numId="13">
    <w:abstractNumId w:val="6"/>
  </w:num>
  <w:num w:numId="14">
    <w:abstractNumId w:val="13"/>
  </w:num>
  <w:num w:numId="15">
    <w:abstractNumId w:val="2"/>
  </w:num>
  <w:num w:numId="16">
    <w:abstractNumId w:val="14"/>
  </w:num>
  <w:num w:numId="17">
    <w:abstractNumId w:val="21"/>
  </w:num>
  <w:num w:numId="18">
    <w:abstractNumId w:val="5"/>
  </w:num>
  <w:num w:numId="19">
    <w:abstractNumId w:val="4"/>
  </w:num>
  <w:num w:numId="20">
    <w:abstractNumId w:val="17"/>
  </w:num>
  <w:num w:numId="21">
    <w:abstractNumId w:val="11"/>
  </w:num>
  <w:num w:numId="22">
    <w:abstractNumId w:val="2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24A71"/>
    <w:rsid w:val="000365DF"/>
    <w:rsid w:val="0004661A"/>
    <w:rsid w:val="0004764F"/>
    <w:rsid w:val="000477CA"/>
    <w:rsid w:val="00062838"/>
    <w:rsid w:val="00074B13"/>
    <w:rsid w:val="000906E5"/>
    <w:rsid w:val="000C1644"/>
    <w:rsid w:val="000C4C2B"/>
    <w:rsid w:val="000D3DB7"/>
    <w:rsid w:val="000E0754"/>
    <w:rsid w:val="000F0278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1119"/>
    <w:rsid w:val="00157185"/>
    <w:rsid w:val="00163534"/>
    <w:rsid w:val="0016720D"/>
    <w:rsid w:val="0017027B"/>
    <w:rsid w:val="00176107"/>
    <w:rsid w:val="001834FF"/>
    <w:rsid w:val="001A3AC9"/>
    <w:rsid w:val="001D19B3"/>
    <w:rsid w:val="001D46B6"/>
    <w:rsid w:val="00215518"/>
    <w:rsid w:val="00234212"/>
    <w:rsid w:val="002415E6"/>
    <w:rsid w:val="002460BA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754AC"/>
    <w:rsid w:val="00281DD5"/>
    <w:rsid w:val="00294838"/>
    <w:rsid w:val="00295DF2"/>
    <w:rsid w:val="002A53A8"/>
    <w:rsid w:val="002A60F5"/>
    <w:rsid w:val="002B7E02"/>
    <w:rsid w:val="002C1E2E"/>
    <w:rsid w:val="002C32B7"/>
    <w:rsid w:val="002C32EF"/>
    <w:rsid w:val="002D16C6"/>
    <w:rsid w:val="002D1BC4"/>
    <w:rsid w:val="002D6616"/>
    <w:rsid w:val="002D6BD0"/>
    <w:rsid w:val="002E1EA0"/>
    <w:rsid w:val="002E4053"/>
    <w:rsid w:val="002E4185"/>
    <w:rsid w:val="00301DE4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9EC"/>
    <w:rsid w:val="003E0770"/>
    <w:rsid w:val="003E3F0D"/>
    <w:rsid w:val="003E5B44"/>
    <w:rsid w:val="003E676F"/>
    <w:rsid w:val="003E78EB"/>
    <w:rsid w:val="00406163"/>
    <w:rsid w:val="00407290"/>
    <w:rsid w:val="00411040"/>
    <w:rsid w:val="00412EF0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50D36"/>
    <w:rsid w:val="004667D8"/>
    <w:rsid w:val="00467DB2"/>
    <w:rsid w:val="00470F80"/>
    <w:rsid w:val="0047606D"/>
    <w:rsid w:val="004761C2"/>
    <w:rsid w:val="00481906"/>
    <w:rsid w:val="00490CD4"/>
    <w:rsid w:val="00491195"/>
    <w:rsid w:val="00492201"/>
    <w:rsid w:val="00492D47"/>
    <w:rsid w:val="00494A11"/>
    <w:rsid w:val="004C13C7"/>
    <w:rsid w:val="004C59FC"/>
    <w:rsid w:val="004C789F"/>
    <w:rsid w:val="004D11B2"/>
    <w:rsid w:val="004F03C8"/>
    <w:rsid w:val="004F1F5C"/>
    <w:rsid w:val="004F23F0"/>
    <w:rsid w:val="004F4764"/>
    <w:rsid w:val="004F6F3B"/>
    <w:rsid w:val="00501F94"/>
    <w:rsid w:val="00512B01"/>
    <w:rsid w:val="005207AB"/>
    <w:rsid w:val="00530763"/>
    <w:rsid w:val="00530AC2"/>
    <w:rsid w:val="00536B64"/>
    <w:rsid w:val="00546247"/>
    <w:rsid w:val="00546CAB"/>
    <w:rsid w:val="00556933"/>
    <w:rsid w:val="005600E6"/>
    <w:rsid w:val="0056644D"/>
    <w:rsid w:val="00566D09"/>
    <w:rsid w:val="0057457B"/>
    <w:rsid w:val="00575BA2"/>
    <w:rsid w:val="005939B8"/>
    <w:rsid w:val="005B5103"/>
    <w:rsid w:val="005B54F6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21D34"/>
    <w:rsid w:val="00633E3B"/>
    <w:rsid w:val="00637EB7"/>
    <w:rsid w:val="00644011"/>
    <w:rsid w:val="006502E2"/>
    <w:rsid w:val="00676765"/>
    <w:rsid w:val="006831FA"/>
    <w:rsid w:val="006833C5"/>
    <w:rsid w:val="006A10C4"/>
    <w:rsid w:val="006A26D1"/>
    <w:rsid w:val="006A394D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628F0"/>
    <w:rsid w:val="00763ED3"/>
    <w:rsid w:val="00776230"/>
    <w:rsid w:val="007774BF"/>
    <w:rsid w:val="007847E8"/>
    <w:rsid w:val="00786308"/>
    <w:rsid w:val="007A0E15"/>
    <w:rsid w:val="007A479A"/>
    <w:rsid w:val="007B0B04"/>
    <w:rsid w:val="007B4971"/>
    <w:rsid w:val="007C1C6A"/>
    <w:rsid w:val="007C1DB2"/>
    <w:rsid w:val="007C3E47"/>
    <w:rsid w:val="007E7E7E"/>
    <w:rsid w:val="008064DF"/>
    <w:rsid w:val="008213CF"/>
    <w:rsid w:val="008246D7"/>
    <w:rsid w:val="00825674"/>
    <w:rsid w:val="00825C3D"/>
    <w:rsid w:val="00834166"/>
    <w:rsid w:val="00846539"/>
    <w:rsid w:val="00882910"/>
    <w:rsid w:val="008861D7"/>
    <w:rsid w:val="00897738"/>
    <w:rsid w:val="008A0708"/>
    <w:rsid w:val="008B4D99"/>
    <w:rsid w:val="008B6C1C"/>
    <w:rsid w:val="008D15DD"/>
    <w:rsid w:val="008D3A69"/>
    <w:rsid w:val="00904081"/>
    <w:rsid w:val="00920A89"/>
    <w:rsid w:val="00922409"/>
    <w:rsid w:val="00923868"/>
    <w:rsid w:val="0092743D"/>
    <w:rsid w:val="0093059D"/>
    <w:rsid w:val="00942C78"/>
    <w:rsid w:val="009550B1"/>
    <w:rsid w:val="009564D3"/>
    <w:rsid w:val="00964968"/>
    <w:rsid w:val="00965CC7"/>
    <w:rsid w:val="00967A71"/>
    <w:rsid w:val="009A7E78"/>
    <w:rsid w:val="009B6B06"/>
    <w:rsid w:val="009B6BFF"/>
    <w:rsid w:val="009C3173"/>
    <w:rsid w:val="009C3262"/>
    <w:rsid w:val="009D25FC"/>
    <w:rsid w:val="009E0049"/>
    <w:rsid w:val="009E309E"/>
    <w:rsid w:val="00A047E2"/>
    <w:rsid w:val="00A11E1A"/>
    <w:rsid w:val="00A16781"/>
    <w:rsid w:val="00A35E09"/>
    <w:rsid w:val="00A37E1D"/>
    <w:rsid w:val="00A40080"/>
    <w:rsid w:val="00A45A76"/>
    <w:rsid w:val="00A46230"/>
    <w:rsid w:val="00A57134"/>
    <w:rsid w:val="00A61EC7"/>
    <w:rsid w:val="00A6791B"/>
    <w:rsid w:val="00A81A6A"/>
    <w:rsid w:val="00A9493D"/>
    <w:rsid w:val="00AA5E1F"/>
    <w:rsid w:val="00AB040A"/>
    <w:rsid w:val="00AB2F3D"/>
    <w:rsid w:val="00AB488F"/>
    <w:rsid w:val="00AB55D8"/>
    <w:rsid w:val="00B01556"/>
    <w:rsid w:val="00B05C4E"/>
    <w:rsid w:val="00B23E30"/>
    <w:rsid w:val="00B25500"/>
    <w:rsid w:val="00B63BB5"/>
    <w:rsid w:val="00B64900"/>
    <w:rsid w:val="00B71454"/>
    <w:rsid w:val="00B722CD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D3406"/>
    <w:rsid w:val="00BE650B"/>
    <w:rsid w:val="00BE7F16"/>
    <w:rsid w:val="00BF189A"/>
    <w:rsid w:val="00BF2673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77F68"/>
    <w:rsid w:val="00C80D82"/>
    <w:rsid w:val="00C844B7"/>
    <w:rsid w:val="00C8511D"/>
    <w:rsid w:val="00CA3F5A"/>
    <w:rsid w:val="00CA6EC9"/>
    <w:rsid w:val="00CB4919"/>
    <w:rsid w:val="00CC07DB"/>
    <w:rsid w:val="00CC2D13"/>
    <w:rsid w:val="00CC5EB9"/>
    <w:rsid w:val="00CD1E05"/>
    <w:rsid w:val="00CD2843"/>
    <w:rsid w:val="00CD4DB6"/>
    <w:rsid w:val="00CD7328"/>
    <w:rsid w:val="00CE6014"/>
    <w:rsid w:val="00CF20EB"/>
    <w:rsid w:val="00CF2349"/>
    <w:rsid w:val="00CF2A4E"/>
    <w:rsid w:val="00D000E8"/>
    <w:rsid w:val="00D07B28"/>
    <w:rsid w:val="00D200D1"/>
    <w:rsid w:val="00D3121C"/>
    <w:rsid w:val="00D41A57"/>
    <w:rsid w:val="00D46D74"/>
    <w:rsid w:val="00D63145"/>
    <w:rsid w:val="00D70A4D"/>
    <w:rsid w:val="00D819C0"/>
    <w:rsid w:val="00D833EC"/>
    <w:rsid w:val="00D860AF"/>
    <w:rsid w:val="00D937A5"/>
    <w:rsid w:val="00DA4FB1"/>
    <w:rsid w:val="00DC2B04"/>
    <w:rsid w:val="00DC5801"/>
    <w:rsid w:val="00DC6F11"/>
    <w:rsid w:val="00DD0FB4"/>
    <w:rsid w:val="00DD2F71"/>
    <w:rsid w:val="00DD71BF"/>
    <w:rsid w:val="00DF37D2"/>
    <w:rsid w:val="00E07C73"/>
    <w:rsid w:val="00E20E19"/>
    <w:rsid w:val="00E24A15"/>
    <w:rsid w:val="00E338D0"/>
    <w:rsid w:val="00E34E49"/>
    <w:rsid w:val="00E3573B"/>
    <w:rsid w:val="00E40684"/>
    <w:rsid w:val="00E406E4"/>
    <w:rsid w:val="00E4199F"/>
    <w:rsid w:val="00E43F71"/>
    <w:rsid w:val="00E46BF8"/>
    <w:rsid w:val="00E47ADD"/>
    <w:rsid w:val="00E71BED"/>
    <w:rsid w:val="00E726E3"/>
    <w:rsid w:val="00E94195"/>
    <w:rsid w:val="00E95976"/>
    <w:rsid w:val="00EA1325"/>
    <w:rsid w:val="00EA42D5"/>
    <w:rsid w:val="00EB3AC1"/>
    <w:rsid w:val="00EE2BA9"/>
    <w:rsid w:val="00EF15AF"/>
    <w:rsid w:val="00EF261E"/>
    <w:rsid w:val="00F03242"/>
    <w:rsid w:val="00F03CE7"/>
    <w:rsid w:val="00F11041"/>
    <w:rsid w:val="00F1328D"/>
    <w:rsid w:val="00F23FA9"/>
    <w:rsid w:val="00F354C5"/>
    <w:rsid w:val="00F40948"/>
    <w:rsid w:val="00F609C1"/>
    <w:rsid w:val="00F6124D"/>
    <w:rsid w:val="00F6314E"/>
    <w:rsid w:val="00F64AC4"/>
    <w:rsid w:val="00F72DF3"/>
    <w:rsid w:val="00F83C07"/>
    <w:rsid w:val="00F9164A"/>
    <w:rsid w:val="00F91F46"/>
    <w:rsid w:val="00F938AE"/>
    <w:rsid w:val="00FA5205"/>
    <w:rsid w:val="00FA7BF4"/>
    <w:rsid w:val="00FB0705"/>
    <w:rsid w:val="00FB0DE6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CA286-15CD-4A82-B3FA-44CBC0F4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8</cp:revision>
  <cp:lastPrinted>2015-07-01T14:28:00Z</cp:lastPrinted>
  <dcterms:created xsi:type="dcterms:W3CDTF">2016-10-27T08:15:00Z</dcterms:created>
  <dcterms:modified xsi:type="dcterms:W3CDTF">2017-03-09T09:04:00Z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