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E3269" w:rsidRPr="007E3269" w:rsidTr="00A92090">
        <w:tc>
          <w:tcPr>
            <w:tcW w:w="10065" w:type="dxa"/>
          </w:tcPr>
          <w:p w:rsidR="007E3269" w:rsidRPr="007E3269" w:rsidRDefault="007E3269" w:rsidP="001619AE">
            <w:bookmarkStart w:id="0" w:name="_GoBack"/>
            <w:bookmarkEnd w:id="0"/>
            <w:r w:rsidRPr="007E3269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847D2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1619A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5F91">
              <w:rPr>
                <w:rFonts w:ascii="Tahoma" w:hAnsi="Tahoma" w:cs="Tahoma"/>
                <w:sz w:val="16"/>
                <w:szCs w:val="16"/>
              </w:rPr>
            </w:r>
            <w:r w:rsidR="00255F9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2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7E3269" w:rsidRDefault="007E3269" w:rsidP="007E3269"/>
    <w:tbl>
      <w:tblPr>
        <w:tblW w:w="510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39"/>
        <w:gridCol w:w="2625"/>
        <w:gridCol w:w="5801"/>
      </w:tblGrid>
      <w:tr w:rsidR="007E3269" w:rsidRPr="00F40948" w:rsidTr="00A92090">
        <w:trPr>
          <w:trHeight w:val="377"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E3269" w:rsidRDefault="007E3269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Γ</w:t>
            </w:r>
          </w:p>
          <w:p w:rsidR="007E3269" w:rsidRDefault="007E3269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1A86">
              <w:rPr>
                <w:rFonts w:ascii="Tahoma" w:hAnsi="Tahoma" w:cs="Tahoma"/>
                <w:b/>
                <w:bCs/>
                <w:sz w:val="16"/>
                <w:szCs w:val="16"/>
              </w:rPr>
              <w:t>Τεχνικής και Διοικητικής Υποστήριξης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E3269" w:rsidRPr="000E0754" w:rsidRDefault="007E3269" w:rsidP="007E32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Θεμάτων Προσωπικού </w:t>
            </w:r>
          </w:p>
        </w:tc>
      </w:tr>
      <w:tr w:rsidR="007E3269" w:rsidRPr="00F40948" w:rsidTr="00A92090">
        <w:trPr>
          <w:trHeight w:val="377"/>
        </w:trPr>
        <w:tc>
          <w:tcPr>
            <w:tcW w:w="814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E3269" w:rsidRPr="000E0754" w:rsidRDefault="007E3269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Γ </w:t>
            </w:r>
          </w:p>
        </w:tc>
      </w:tr>
      <w:tr w:rsidR="007E3269" w:rsidRPr="00F40948" w:rsidTr="00A92090">
        <w:trPr>
          <w:trHeight w:val="142"/>
        </w:trPr>
        <w:tc>
          <w:tcPr>
            <w:tcW w:w="814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E3269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E3269" w:rsidRPr="000E0754" w:rsidRDefault="007E3269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7E3269" w:rsidRPr="00F40948" w:rsidTr="00A92090">
        <w:trPr>
          <w:trHeight w:val="165"/>
        </w:trPr>
        <w:tc>
          <w:tcPr>
            <w:tcW w:w="814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E3269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E3269" w:rsidRPr="000E0754" w:rsidRDefault="007E3269" w:rsidP="0087674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3269" w:rsidRPr="00F40948" w:rsidTr="001E3A6E">
        <w:trPr>
          <w:trHeight w:val="748"/>
        </w:trPr>
        <w:tc>
          <w:tcPr>
            <w:tcW w:w="81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269" w:rsidRPr="000E0754" w:rsidRDefault="007E3269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E3269" w:rsidRPr="0060427E" w:rsidRDefault="007E3269" w:rsidP="007E3269">
            <w:pPr>
              <w:rPr>
                <w:rFonts w:ascii="Tahoma" w:hAnsi="Tahoma" w:cs="Tahoma"/>
                <w:sz w:val="16"/>
                <w:szCs w:val="16"/>
              </w:rPr>
            </w:pPr>
            <w:r w:rsidRPr="00316607">
              <w:rPr>
                <w:rFonts w:ascii="Tahoma" w:hAnsi="Tahoma" w:cs="Tahoma"/>
                <w:bCs/>
                <w:sz w:val="16"/>
                <w:szCs w:val="16"/>
              </w:rPr>
              <w:t>Ο υπεύθυνος διαχείρισης όλων των θεμάτων προσωπικού (διοικητικών, εκπαιδευτικών, οικονομικών, οργανωτικών), εισηγούμενος για τα παραπάνω θέμα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τα στον Προϊστάμενο της</w:t>
            </w:r>
            <w:r w:rsidRPr="00316607">
              <w:rPr>
                <w:rFonts w:ascii="Tahoma" w:hAnsi="Tahoma" w:cs="Tahoma"/>
                <w:bCs/>
                <w:sz w:val="16"/>
                <w:szCs w:val="16"/>
              </w:rPr>
              <w:t xml:space="preserve"> Μονάδας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Γ</w:t>
            </w:r>
          </w:p>
        </w:tc>
      </w:tr>
    </w:tbl>
    <w:p w:rsidR="007E3269" w:rsidRDefault="007E3269" w:rsidP="007E3269"/>
    <w:tbl>
      <w:tblPr>
        <w:tblW w:w="510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E1344" w:rsidRPr="009550B1" w:rsidTr="00A92090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3A5961" w:rsidP="00811DD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="004E1344"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4E1344" w:rsidRPr="00F83C07" w:rsidTr="00A92090">
        <w:trPr>
          <w:trHeight w:val="320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247CD1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σε θέματα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προσωπικού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μετά από συνεννόηση με Προϊσταμένους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άλλων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Μονάδων ή/ και το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Προϊστάμενο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</w:t>
            </w:r>
          </w:p>
          <w:p w:rsidR="00247CD1" w:rsidRPr="00485F0C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Δημιουργία/ τήρηση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ρχείου προσωπικού (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παρουσιολόγιο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άδειες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μετακινήσεις, αποχωρήσεις, καταρτίσεις, κ</w:t>
            </w:r>
            <w:r w:rsidRPr="00666E6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λπ.)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συνεργασία με τη ΜΟΔ </w:t>
            </w:r>
          </w:p>
          <w:p w:rsidR="00247CD1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Συγκέντρωση αιτημάτων κατάρτισης προσωπικού από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Μονάδες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</w:t>
            </w:r>
            <w:r w:rsidR="001E3A6E" w:rsidRPr="001E3A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ΕΥΔ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προγραμματισμός και οργάνωση προγραμμάτων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εκπαίδευσης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συνεργασία με τη ΜΟΔ,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αρμόδιες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πηρεσίες, ειδικούς εξωτερικούς συνεργάτες</w:t>
            </w:r>
          </w:p>
          <w:p w:rsidR="00247CD1" w:rsidRPr="00FA161C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Καταγραφή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επικαιροποίηση</w:t>
            </w:r>
            <w:proofErr w:type="spellEnd"/>
            <w:r w:rsidR="001E3A6E" w:rsidRPr="001E3A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στοιχείων χαρτογράφησης προσωπικού</w:t>
            </w:r>
          </w:p>
          <w:p w:rsidR="00247CD1" w:rsidRPr="00FA161C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Παρακολούθηση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σ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ύνταξη αναφορών σχετικά με την εφαρμογή της διαδικασίας εναλλαγής προσωπικού σε ευαίσθητες θέσεις εργασία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ενημέρωση της ΜΟΔ </w:t>
            </w:r>
          </w:p>
          <w:p w:rsidR="00247CD1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4C6D0D">
              <w:rPr>
                <w:rFonts w:ascii="Tahoma" w:hAnsi="Tahoma" w:cs="Tahoma"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ή</w:t>
            </w:r>
            <w:r w:rsidRPr="004C6D0D">
              <w:rPr>
                <w:rFonts w:ascii="Tahoma" w:hAnsi="Tahoma" w:cs="Tahoma"/>
                <w:bCs/>
                <w:sz w:val="18"/>
                <w:szCs w:val="18"/>
              </w:rPr>
              <w:t xml:space="preserve">ρηση καταλόγου του προσωπικού που υποχρεούται σε υποβολή δήλωσης περιουσιακής κατάστασης </w:t>
            </w:r>
          </w:p>
          <w:p w:rsidR="00247CD1" w:rsidRPr="004C6D0D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4C6D0D">
              <w:rPr>
                <w:rFonts w:ascii="Tahoma" w:hAnsi="Tahoma" w:cs="Tahoma"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ή</w:t>
            </w:r>
            <w:r w:rsidRPr="004C6D0D">
              <w:rPr>
                <w:rFonts w:ascii="Tahoma" w:hAnsi="Tahoma" w:cs="Tahoma"/>
                <w:bCs/>
                <w:sz w:val="18"/>
                <w:szCs w:val="18"/>
              </w:rPr>
              <w:t xml:space="preserve">ρηση καταλόγου του προσωπικού που υποχρεούται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σε </w:t>
            </w:r>
            <w:r w:rsidRPr="004C6D0D">
              <w:rPr>
                <w:rFonts w:ascii="Tahoma" w:hAnsi="Tahoma" w:cs="Tahoma"/>
                <w:bCs/>
                <w:sz w:val="18"/>
                <w:szCs w:val="18"/>
              </w:rPr>
              <w:t>δήλωση μη σύγκρουσης συμφερόντων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(η δήλωση υποβάλλεται άπαξ στην ΚΥ της ΜΟΔ από κάθε υπόχρεο). Τήρηση αρχείου περιπτώσεων εξαίρεσης προσωπικού από καθήκοντα λόγω σύγκρουσης συμφερόντων</w:t>
            </w:r>
          </w:p>
          <w:p w:rsidR="00247CD1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διαμόρφωση χώρων σε συνεργασία με τη ΜΟΔ</w:t>
            </w:r>
          </w:p>
          <w:p w:rsidR="00247CD1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λειτουργικότητα και συντήρηση των εγκαταστάσεων</w:t>
            </w:r>
            <w:r w:rsidR="001E3A6E" w:rsidRPr="001E3A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της υλικοτεχνικής υποδομής (πλην των πληροφοριακών συστημάτων) </w:t>
            </w:r>
          </w:p>
          <w:p w:rsidR="00247CD1" w:rsidRPr="00415EAF" w:rsidRDefault="00247CD1" w:rsidP="00247CD1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15EA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415EA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κλπ. που συγκροτούνται, κατά περίπτωση, στο πλαίσιο λει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τουργίας της ΕΥ και του ΕΣΠΑ</w:t>
            </w:r>
          </w:p>
          <w:p w:rsidR="00247CD1" w:rsidRPr="00247CD1" w:rsidRDefault="00247CD1" w:rsidP="00312740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15EA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</w:p>
        </w:tc>
      </w:tr>
    </w:tbl>
    <w:p w:rsidR="003A5961" w:rsidRDefault="003A5961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E1344" w:rsidRPr="009550B1" w:rsidTr="00F05684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3A596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2. </w:t>
            </w:r>
            <w:r w:rsidR="004E134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ΣΧΕΣΕΙΣ ΣΥΝΕΡΓΑΣΙΑΣ</w:t>
            </w:r>
          </w:p>
        </w:tc>
      </w:tr>
      <w:tr w:rsidR="004E1344" w:rsidRPr="00371252" w:rsidTr="00246ED7">
        <w:trPr>
          <w:trHeight w:val="4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3F2" w:rsidRDefault="00B613F2" w:rsidP="00B613F2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Υπηρεσίες Εθνικής Αρχής Συντονισμού</w:t>
            </w:r>
          </w:p>
          <w:p w:rsidR="00B613F2" w:rsidRDefault="00B613F2" w:rsidP="00B613F2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ΜΟΔ</w:t>
            </w:r>
          </w:p>
          <w:p w:rsidR="00B613F2" w:rsidRDefault="00B613F2" w:rsidP="00B613F2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Εξωτερικοί Συνεργάτες σε θέματα εκπαίδευσης</w:t>
            </w:r>
          </w:p>
          <w:p w:rsidR="00B72AB5" w:rsidRPr="003D2C16" w:rsidRDefault="00B613F2" w:rsidP="00B613F2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των ΕΠ </w:t>
            </w:r>
          </w:p>
        </w:tc>
      </w:tr>
    </w:tbl>
    <w:p w:rsidR="00246ED7" w:rsidRDefault="00246ED7" w:rsidP="00763ED3"/>
    <w:p w:rsidR="00246ED7" w:rsidRDefault="00246ED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D451D" w:rsidRPr="009550B1" w:rsidTr="00F05684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D451D" w:rsidRPr="005155B4" w:rsidRDefault="004D451D" w:rsidP="004D45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3. ΠΡΟΣΟΝΤΑ ΚΑΛΥΨΗΣ ΘΕΣΗΣ ΕΡΓΑΣΙΑΣ ΠΕ</w:t>
            </w:r>
            <w:r w:rsidR="005155B4" w:rsidRPr="005155B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  <w:r w:rsidR="005155B4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>TE</w:t>
            </w:r>
          </w:p>
        </w:tc>
      </w:tr>
      <w:tr w:rsidR="004D451D" w:rsidRPr="00F83C07" w:rsidTr="003E3D3A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D451D" w:rsidRPr="00F83C07" w:rsidRDefault="004D451D" w:rsidP="004D451D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9B4D39" w:rsidRPr="00C462D6" w:rsidTr="00A92090">
        <w:trPr>
          <w:trHeight w:val="385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B4D39" w:rsidRPr="00A92090" w:rsidRDefault="009B4D39" w:rsidP="00A92090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A92090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9B4D39" w:rsidRPr="00791879" w:rsidRDefault="009B4D39" w:rsidP="00A9209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ΑΕΙ </w:t>
            </w:r>
            <w:r w:rsidRPr="00B65F3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155B4" w:rsidRPr="005155B4">
              <w:rPr>
                <w:rFonts w:ascii="Tahoma" w:hAnsi="Tahoma" w:cs="Tahoma"/>
                <w:sz w:val="18"/>
                <w:szCs w:val="18"/>
              </w:rPr>
              <w:t>/</w:t>
            </w:r>
            <w:r w:rsidR="005155B4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B65F38">
              <w:rPr>
                <w:rFonts w:ascii="Tahoma" w:hAnsi="Tahoma" w:cs="Tahoma"/>
                <w:sz w:val="18"/>
                <w:szCs w:val="18"/>
              </w:rPr>
              <w:t>)</w:t>
            </w:r>
            <w:r w:rsidR="005155B4" w:rsidRPr="005155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:rsidR="009B4D39" w:rsidRPr="00791879" w:rsidRDefault="009B4D39" w:rsidP="00A9209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9B4D39" w:rsidRDefault="009B4D39" w:rsidP="00A92090">
            <w:pPr>
              <w:numPr>
                <w:ilvl w:val="0"/>
                <w:numId w:val="16"/>
              </w:numPr>
              <w:tabs>
                <w:tab w:val="num" w:pos="459"/>
              </w:tabs>
              <w:overflowPunct/>
              <w:autoSpaceDE/>
              <w:autoSpaceDN/>
              <w:adjustRightInd/>
              <w:ind w:left="459" w:hanging="141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:rsidR="009B4D39" w:rsidRDefault="009B4D39" w:rsidP="00A92090">
            <w:pPr>
              <w:numPr>
                <w:ilvl w:val="0"/>
                <w:numId w:val="16"/>
              </w:numPr>
              <w:tabs>
                <w:tab w:val="num" w:pos="459"/>
                <w:tab w:val="num" w:pos="743"/>
              </w:tabs>
              <w:overflowPunct/>
              <w:autoSpaceDE/>
              <w:autoSpaceDN/>
              <w:adjustRightInd/>
              <w:ind w:left="743" w:hanging="425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:rsidR="009B4D39" w:rsidRPr="00791879" w:rsidRDefault="009B4D39" w:rsidP="00A92090">
            <w:pPr>
              <w:numPr>
                <w:ilvl w:val="0"/>
                <w:numId w:val="16"/>
              </w:numPr>
              <w:tabs>
                <w:tab w:val="num" w:pos="459"/>
              </w:tabs>
              <w:overflowPunct/>
              <w:autoSpaceDE/>
              <w:autoSpaceDN/>
              <w:adjustRightInd/>
              <w:ind w:left="459" w:hanging="141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</w:p>
          <w:p w:rsidR="009B4D39" w:rsidRPr="00E77B23" w:rsidRDefault="009B4D39" w:rsidP="00A92090">
            <w:pPr>
              <w:tabs>
                <w:tab w:val="num" w:pos="2160"/>
              </w:tabs>
              <w:overflowPunct/>
              <w:autoSpaceDE/>
              <w:autoSpaceDN/>
              <w:adjustRightInd/>
              <w:ind w:left="1080"/>
              <w:jc w:val="left"/>
              <w:textAlignment w:val="auto"/>
              <w:rPr>
                <w:rFonts w:ascii="Tahoma" w:hAnsi="Tahoma" w:cs="Tahoma"/>
                <w:sz w:val="10"/>
                <w:szCs w:val="10"/>
              </w:rPr>
            </w:pPr>
          </w:p>
          <w:p w:rsidR="009B4D39" w:rsidRPr="00A92090" w:rsidRDefault="009B4D39" w:rsidP="00A92090">
            <w:pPr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A92090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9B4D39" w:rsidRPr="00223C2C" w:rsidRDefault="009B4D39" w:rsidP="00A92090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23C2C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 ή/και εκτέλεσης έργων του δημόσιου ή ιδιωτικού τομέα κατά προτίμηση στα θεματικά αντικείμενα του τομέα ευθύνης της ΕΥ </w:t>
            </w:r>
            <w:r w:rsidRPr="003C0FEF">
              <w:rPr>
                <w:rFonts w:ascii="Tahoma" w:hAnsi="Tahoma" w:cs="Tahoma"/>
                <w:sz w:val="18"/>
                <w:szCs w:val="18"/>
              </w:rPr>
              <w:t>ή/και σε θέματα διαχείρισης προσωπικού</w:t>
            </w:r>
          </w:p>
          <w:p w:rsidR="009B4D39" w:rsidRPr="00791879" w:rsidRDefault="009B4D39" w:rsidP="00A92090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9B4D39" w:rsidRPr="00791879" w:rsidRDefault="009B4D39" w:rsidP="00A92090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9B4D39" w:rsidRPr="00791879" w:rsidRDefault="009B4D39" w:rsidP="00A92090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9B4D39" w:rsidRPr="009B4D39" w:rsidRDefault="009B4D39" w:rsidP="00A92090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9B4D39" w:rsidRPr="00C462D6" w:rsidRDefault="009B4D39" w:rsidP="00A92090">
            <w:pPr>
              <w:numPr>
                <w:ilvl w:val="1"/>
                <w:numId w:val="1"/>
              </w:num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</w:tc>
      </w:tr>
      <w:tr w:rsidR="004D451D" w:rsidRPr="00F83C07" w:rsidTr="003E3D3A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D451D" w:rsidRPr="00F83C07" w:rsidRDefault="004D451D" w:rsidP="005155B4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9B4D39" w:rsidRPr="00024A71" w:rsidTr="00A92090">
        <w:trPr>
          <w:trHeight w:val="51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9B4D39" w:rsidRPr="00791879" w:rsidRDefault="009B4D39" w:rsidP="00A92090">
            <w:pPr>
              <w:numPr>
                <w:ilvl w:val="0"/>
                <w:numId w:val="9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ΕΥ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:rsidR="009B4D39" w:rsidRPr="00024A71" w:rsidRDefault="009B4D39" w:rsidP="00A92090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4D451D" w:rsidRDefault="004D451D" w:rsidP="004D451D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D451D" w:rsidRPr="009550B1" w:rsidTr="00F05684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D451D" w:rsidRPr="009550B1" w:rsidRDefault="005155B4" w:rsidP="004D45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155B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 w:rsidR="004D451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 ΠΡΟΣΟΝΤΑ ΚΑΛΥΨΗΣ ΘΕΣΗΣ ΕΡΓΑΣΙΑΣ ΔΕ</w:t>
            </w:r>
          </w:p>
        </w:tc>
      </w:tr>
      <w:tr w:rsidR="004D451D" w:rsidRPr="0068592E" w:rsidTr="003E3D3A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D451D" w:rsidRPr="006B40D4" w:rsidRDefault="004D451D" w:rsidP="00CD6A36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B40D4">
              <w:rPr>
                <w:rFonts w:ascii="Tahoma" w:hAnsi="Tahoma" w:cs="Tahoma"/>
                <w:b/>
                <w:sz w:val="18"/>
                <w:szCs w:val="18"/>
              </w:rPr>
              <w:t xml:space="preserve">Α. ΑΠΑΡΑΙΤΗΤΑ </w:t>
            </w:r>
            <w:r w:rsidR="005155B4">
              <w:rPr>
                <w:rFonts w:ascii="Tahoma" w:hAnsi="Tahoma" w:cs="Tahoma"/>
                <w:b/>
                <w:sz w:val="18"/>
                <w:szCs w:val="18"/>
              </w:rPr>
              <w:t>ΠΡΟΣΟΝΤΑ</w:t>
            </w:r>
            <w:r w:rsidRPr="006B40D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9B4D39" w:rsidRPr="0068592E" w:rsidTr="00246ED7">
        <w:trPr>
          <w:trHeight w:val="84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9B4D39" w:rsidRPr="007A6BBD" w:rsidRDefault="009B4D39" w:rsidP="00960309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9B4D39" w:rsidRPr="00960309" w:rsidRDefault="009B4D39" w:rsidP="00960309">
            <w:pPr>
              <w:pStyle w:val="a6"/>
              <w:numPr>
                <w:ilvl w:val="1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960309">
              <w:rPr>
                <w:rFonts w:ascii="Tahoma" w:hAnsi="Tahoma" w:cs="Tahoma"/>
                <w:sz w:val="18"/>
                <w:szCs w:val="18"/>
              </w:rPr>
              <w:t>Απολυτήριος τίτλος λυκείου ή ισότιμου</w:t>
            </w:r>
          </w:p>
          <w:p w:rsidR="00960309" w:rsidRPr="00960309" w:rsidRDefault="009B4D39" w:rsidP="00960309">
            <w:pPr>
              <w:pStyle w:val="a6"/>
              <w:numPr>
                <w:ilvl w:val="1"/>
                <w:numId w:val="2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60309">
              <w:rPr>
                <w:rFonts w:ascii="Tahoma" w:hAnsi="Tahoma" w:cs="Tahoma"/>
                <w:sz w:val="18"/>
                <w:szCs w:val="18"/>
              </w:rPr>
              <w:t>6ετής επαγγελματική εμπειρία</w:t>
            </w:r>
          </w:p>
          <w:p w:rsidR="009B4D39" w:rsidRPr="00960309" w:rsidRDefault="009B4D39" w:rsidP="00960309">
            <w:pPr>
              <w:tabs>
                <w:tab w:val="num" w:pos="360"/>
              </w:tabs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9B4D39" w:rsidRDefault="009B4D39" w:rsidP="00960309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Εμπειρία σε θέματα διαχείρισης προσωπικού ή/και σε διοικητικά καθήκοντα ή/και σε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λογιστική ή</w:t>
            </w:r>
            <w:r>
              <w:rPr>
                <w:rFonts w:ascii="Tahoma" w:hAnsi="Tahoma" w:cs="Tahoma"/>
                <w:sz w:val="18"/>
                <w:szCs w:val="18"/>
              </w:rPr>
              <w:t>/και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σε διαχείριση κοινοτικών προγραμμάτων</w:t>
            </w:r>
          </w:p>
          <w:p w:rsidR="009B4D39" w:rsidRDefault="009B4D39" w:rsidP="00960309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9B4D39" w:rsidRPr="0066707B" w:rsidRDefault="009B4D39" w:rsidP="00960309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:rsidR="009B4D39" w:rsidRPr="00960309" w:rsidRDefault="009B4D39" w:rsidP="00960309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Ικανότητα </w:t>
            </w:r>
            <w:r>
              <w:rPr>
                <w:rFonts w:ascii="Tahoma" w:hAnsi="Tahoma" w:cs="Tahoma"/>
                <w:sz w:val="18"/>
                <w:szCs w:val="18"/>
              </w:rPr>
              <w:t xml:space="preserve">χρήσης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εφαρμογών αυτομ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ατισμού γραφείου και υπηρεσιών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:rsidR="00960309" w:rsidRPr="00745348" w:rsidRDefault="00960309" w:rsidP="00960309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51D" w:rsidRPr="00710919" w:rsidTr="0005735A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D451D" w:rsidRPr="006B40D4" w:rsidRDefault="004D451D" w:rsidP="0005735A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B40D4">
              <w:rPr>
                <w:rFonts w:ascii="Tahoma" w:hAnsi="Tahoma" w:cs="Tahoma"/>
                <w:b/>
                <w:sz w:val="18"/>
                <w:szCs w:val="18"/>
              </w:rPr>
              <w:t>Β.</w:t>
            </w:r>
            <w:r w:rsidR="005155B4">
              <w:rPr>
                <w:rFonts w:ascii="Tahoma" w:hAnsi="Tahoma" w:cs="Tahoma"/>
                <w:b/>
                <w:sz w:val="18"/>
                <w:szCs w:val="18"/>
              </w:rPr>
              <w:t xml:space="preserve"> ΠΡΟΣΘΕΤΑ/ ΕΠΙΘΥΜΗΤΑ ΠΡΟΣΟΝΤΑ</w:t>
            </w:r>
            <w:r w:rsidRPr="006B40D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9B4D39" w:rsidRPr="0068592E" w:rsidTr="00960309">
        <w:trPr>
          <w:trHeight w:val="467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9B4D39" w:rsidRPr="0066707B" w:rsidRDefault="009B4D39" w:rsidP="00960309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Πτυχίο ΙΕΚ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ΚΕΣ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ή ισότιμο</w:t>
            </w:r>
          </w:p>
          <w:p w:rsidR="009B4D39" w:rsidRPr="0068592E" w:rsidRDefault="009B4D39" w:rsidP="0096030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Γνώση ξένης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κοινοτικής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γλώσσας</w:t>
            </w:r>
          </w:p>
        </w:tc>
      </w:tr>
    </w:tbl>
    <w:p w:rsidR="004E1344" w:rsidRPr="005155B4" w:rsidRDefault="004E1344">
      <w:pPr>
        <w:rPr>
          <w:lang w:val="en-US"/>
        </w:rPr>
      </w:pPr>
    </w:p>
    <w:sectPr w:rsidR="004E1344" w:rsidRPr="005155B4" w:rsidSect="00A92090">
      <w:headerReference w:type="default" r:id="rId13"/>
      <w:footerReference w:type="default" r:id="rId14"/>
      <w:pgSz w:w="11906" w:h="16838"/>
      <w:pgMar w:top="1440" w:right="1021" w:bottom="1440" w:left="1247" w:header="709" w:footer="9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AB" w:rsidRDefault="005354AB">
      <w:r>
        <w:separator/>
      </w:r>
    </w:p>
  </w:endnote>
  <w:endnote w:type="continuationSeparator" w:id="0">
    <w:p w:rsidR="005354AB" w:rsidRDefault="0053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90" w:rsidRPr="00806E08" w:rsidRDefault="00806E08" w:rsidP="000806D9">
    <w:pPr>
      <w:pStyle w:val="a4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A92090" w:rsidRPr="00662F0B" w:rsidTr="007E4B71">
      <w:trPr>
        <w:jc w:val="center"/>
      </w:trPr>
      <w:tc>
        <w:tcPr>
          <w:tcW w:w="3383" w:type="dxa"/>
          <w:shd w:val="clear" w:color="auto" w:fill="auto"/>
        </w:tcPr>
        <w:p w:rsidR="00A92090" w:rsidRPr="00662F0B" w:rsidRDefault="00A92090" w:rsidP="007E4B7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A92090" w:rsidRPr="00255F91" w:rsidRDefault="00A92090" w:rsidP="006E1A43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255F91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255F91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255F91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A92090" w:rsidRPr="00662F0B" w:rsidRDefault="00847D2B" w:rsidP="007E4B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A92090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255F91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A92090" w:rsidRPr="00662F0B" w:rsidRDefault="00A92090" w:rsidP="007E4B7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0FBF960A" wp14:editId="43EBC32B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3B4E" w:rsidRPr="00806E08" w:rsidRDefault="00693B4E" w:rsidP="000806D9">
    <w:pPr>
      <w:pStyle w:val="a4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AB" w:rsidRDefault="005354AB">
      <w:r>
        <w:separator/>
      </w:r>
    </w:p>
  </w:footnote>
  <w:footnote w:type="continuationSeparator" w:id="0">
    <w:p w:rsidR="005354AB" w:rsidRDefault="0053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7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065"/>
    </w:tblGrid>
    <w:tr w:rsidR="005B6E5D" w:rsidRPr="00F40948" w:rsidTr="00A92090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5B6E5D" w:rsidRPr="00DA4FB1" w:rsidRDefault="005B6E5D" w:rsidP="00A92090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A92090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5B6E5D" w:rsidRPr="00615C71" w:rsidRDefault="005B6E5D" w:rsidP="005B6E5D">
    <w:pPr>
      <w:rPr>
        <w:rFonts w:ascii="Tahoma" w:hAnsi="Tahoma" w:cs="Tahoma"/>
        <w:sz w:val="16"/>
        <w:szCs w:val="16"/>
      </w:rPr>
    </w:pPr>
  </w:p>
  <w:tbl>
    <w:tblPr>
      <w:tblW w:w="5107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065"/>
    </w:tblGrid>
    <w:tr w:rsidR="005B6E5D" w:rsidRPr="00BA2F92" w:rsidTr="00A92090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5B6E5D" w:rsidRPr="00DA4FB1" w:rsidRDefault="005B6E5D" w:rsidP="006570C6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8: Στέλεχος </w:t>
          </w:r>
          <w:r w:rsidR="006570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για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</w:t>
          </w:r>
          <w:r w:rsidR="006570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έματα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Προσωπικού  3γ2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5B6E5D" w:rsidRPr="000806D9" w:rsidRDefault="005B6E5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934"/>
    <w:multiLevelType w:val="hybridMultilevel"/>
    <w:tmpl w:val="986851B0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165BB6"/>
    <w:multiLevelType w:val="hybridMultilevel"/>
    <w:tmpl w:val="2DC42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4B1"/>
    <w:multiLevelType w:val="hybridMultilevel"/>
    <w:tmpl w:val="F04AD0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8355C"/>
    <w:multiLevelType w:val="hybridMultilevel"/>
    <w:tmpl w:val="8C2AA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686"/>
    <w:multiLevelType w:val="hybridMultilevel"/>
    <w:tmpl w:val="43DA7A8C"/>
    <w:lvl w:ilvl="0" w:tplc="0408000D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73744"/>
    <w:multiLevelType w:val="hybridMultilevel"/>
    <w:tmpl w:val="EF541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FD87997"/>
    <w:multiLevelType w:val="hybridMultilevel"/>
    <w:tmpl w:val="B660020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73240"/>
    <w:multiLevelType w:val="hybridMultilevel"/>
    <w:tmpl w:val="21C6F6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1D92"/>
    <w:multiLevelType w:val="hybridMultilevel"/>
    <w:tmpl w:val="2DACA0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0A87FCE"/>
    <w:multiLevelType w:val="hybridMultilevel"/>
    <w:tmpl w:val="B38A66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B436D6"/>
    <w:multiLevelType w:val="hybridMultilevel"/>
    <w:tmpl w:val="9B8E2A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B0E14"/>
    <w:multiLevelType w:val="hybridMultilevel"/>
    <w:tmpl w:val="A1FA92D0"/>
    <w:lvl w:ilvl="0" w:tplc="A7223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00319"/>
    <w:multiLevelType w:val="hybridMultilevel"/>
    <w:tmpl w:val="212E6C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71870"/>
    <w:multiLevelType w:val="hybridMultilevel"/>
    <w:tmpl w:val="8236D4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9"/>
  </w:num>
  <w:num w:numId="5">
    <w:abstractNumId w:val="21"/>
  </w:num>
  <w:num w:numId="6">
    <w:abstractNumId w:val="17"/>
  </w:num>
  <w:num w:numId="7">
    <w:abstractNumId w:val="25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23"/>
  </w:num>
  <w:num w:numId="14">
    <w:abstractNumId w:val="24"/>
  </w:num>
  <w:num w:numId="15">
    <w:abstractNumId w:val="1"/>
  </w:num>
  <w:num w:numId="16">
    <w:abstractNumId w:val="10"/>
  </w:num>
  <w:num w:numId="17">
    <w:abstractNumId w:val="18"/>
  </w:num>
  <w:num w:numId="18">
    <w:abstractNumId w:val="16"/>
  </w:num>
  <w:num w:numId="19">
    <w:abstractNumId w:val="13"/>
  </w:num>
  <w:num w:numId="20">
    <w:abstractNumId w:val="20"/>
  </w:num>
  <w:num w:numId="21">
    <w:abstractNumId w:val="15"/>
  </w:num>
  <w:num w:numId="22">
    <w:abstractNumId w:val="2"/>
  </w:num>
  <w:num w:numId="23">
    <w:abstractNumId w:val="22"/>
  </w:num>
  <w:num w:numId="24">
    <w:abstractNumId w:val="8"/>
  </w:num>
  <w:num w:numId="25">
    <w:abstractNumId w:val="4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0588"/>
    <w:rsid w:val="00024ACE"/>
    <w:rsid w:val="0005735A"/>
    <w:rsid w:val="000806D9"/>
    <w:rsid w:val="000827C2"/>
    <w:rsid w:val="00090A4E"/>
    <w:rsid w:val="000C7898"/>
    <w:rsid w:val="001002D1"/>
    <w:rsid w:val="00146787"/>
    <w:rsid w:val="001467F7"/>
    <w:rsid w:val="001619AE"/>
    <w:rsid w:val="001672F9"/>
    <w:rsid w:val="00193C73"/>
    <w:rsid w:val="001B0E9E"/>
    <w:rsid w:val="001D61E9"/>
    <w:rsid w:val="001E2643"/>
    <w:rsid w:val="001E3A6E"/>
    <w:rsid w:val="00213F60"/>
    <w:rsid w:val="0023205D"/>
    <w:rsid w:val="00246ED7"/>
    <w:rsid w:val="00247CD1"/>
    <w:rsid w:val="00255F91"/>
    <w:rsid w:val="0028243B"/>
    <w:rsid w:val="002928B3"/>
    <w:rsid w:val="002A249D"/>
    <w:rsid w:val="002A3735"/>
    <w:rsid w:val="002C1BDC"/>
    <w:rsid w:val="002C1E2E"/>
    <w:rsid w:val="002D3F6D"/>
    <w:rsid w:val="00312740"/>
    <w:rsid w:val="003169A0"/>
    <w:rsid w:val="00332B79"/>
    <w:rsid w:val="00352D03"/>
    <w:rsid w:val="00371252"/>
    <w:rsid w:val="0037461D"/>
    <w:rsid w:val="00394D65"/>
    <w:rsid w:val="003A5961"/>
    <w:rsid w:val="003B12F7"/>
    <w:rsid w:val="003C7410"/>
    <w:rsid w:val="003D2C16"/>
    <w:rsid w:val="003E3D3A"/>
    <w:rsid w:val="00415EB7"/>
    <w:rsid w:val="00423DD0"/>
    <w:rsid w:val="0045445C"/>
    <w:rsid w:val="0048564F"/>
    <w:rsid w:val="00485971"/>
    <w:rsid w:val="00485F0C"/>
    <w:rsid w:val="00494A11"/>
    <w:rsid w:val="004D2966"/>
    <w:rsid w:val="004D451D"/>
    <w:rsid w:val="004D71C8"/>
    <w:rsid w:val="004E1344"/>
    <w:rsid w:val="004E1C61"/>
    <w:rsid w:val="005155B4"/>
    <w:rsid w:val="00517BCD"/>
    <w:rsid w:val="00521642"/>
    <w:rsid w:val="00522EF7"/>
    <w:rsid w:val="005269E3"/>
    <w:rsid w:val="0053425E"/>
    <w:rsid w:val="005354AB"/>
    <w:rsid w:val="00555403"/>
    <w:rsid w:val="005B6E5D"/>
    <w:rsid w:val="005C7C11"/>
    <w:rsid w:val="005D0C5E"/>
    <w:rsid w:val="005E4E4B"/>
    <w:rsid w:val="00623761"/>
    <w:rsid w:val="00654BD9"/>
    <w:rsid w:val="006570C6"/>
    <w:rsid w:val="00693B4E"/>
    <w:rsid w:val="006A6CB1"/>
    <w:rsid w:val="006B0763"/>
    <w:rsid w:val="006E1A43"/>
    <w:rsid w:val="006E6B3E"/>
    <w:rsid w:val="00740A2A"/>
    <w:rsid w:val="00763ED3"/>
    <w:rsid w:val="007B01CD"/>
    <w:rsid w:val="007D6CDF"/>
    <w:rsid w:val="007E3269"/>
    <w:rsid w:val="00803DB4"/>
    <w:rsid w:val="008042CC"/>
    <w:rsid w:val="0080578D"/>
    <w:rsid w:val="00806E08"/>
    <w:rsid w:val="00811DD0"/>
    <w:rsid w:val="008221AC"/>
    <w:rsid w:val="00827D7B"/>
    <w:rsid w:val="00834070"/>
    <w:rsid w:val="00846A16"/>
    <w:rsid w:val="00847D2B"/>
    <w:rsid w:val="00885D51"/>
    <w:rsid w:val="008912C3"/>
    <w:rsid w:val="00897CE1"/>
    <w:rsid w:val="008B2FC1"/>
    <w:rsid w:val="008B4D99"/>
    <w:rsid w:val="00917E64"/>
    <w:rsid w:val="009550B1"/>
    <w:rsid w:val="00960309"/>
    <w:rsid w:val="00982264"/>
    <w:rsid w:val="009908C9"/>
    <w:rsid w:val="009B4D39"/>
    <w:rsid w:val="009E39D5"/>
    <w:rsid w:val="00A13C59"/>
    <w:rsid w:val="00A13CFD"/>
    <w:rsid w:val="00A44B48"/>
    <w:rsid w:val="00A92090"/>
    <w:rsid w:val="00B613F2"/>
    <w:rsid w:val="00B72AB5"/>
    <w:rsid w:val="00BC22F0"/>
    <w:rsid w:val="00BC2B36"/>
    <w:rsid w:val="00BE650B"/>
    <w:rsid w:val="00BF3F82"/>
    <w:rsid w:val="00C0114C"/>
    <w:rsid w:val="00C401CC"/>
    <w:rsid w:val="00C462D6"/>
    <w:rsid w:val="00C61DC4"/>
    <w:rsid w:val="00C8004A"/>
    <w:rsid w:val="00C844B7"/>
    <w:rsid w:val="00C915DD"/>
    <w:rsid w:val="00CD6A36"/>
    <w:rsid w:val="00CF19F8"/>
    <w:rsid w:val="00D007DF"/>
    <w:rsid w:val="00D46DC9"/>
    <w:rsid w:val="00D63145"/>
    <w:rsid w:val="00D63512"/>
    <w:rsid w:val="00D77787"/>
    <w:rsid w:val="00D81DA8"/>
    <w:rsid w:val="00DA335A"/>
    <w:rsid w:val="00DF5739"/>
    <w:rsid w:val="00E11353"/>
    <w:rsid w:val="00E30970"/>
    <w:rsid w:val="00E57273"/>
    <w:rsid w:val="00E72F15"/>
    <w:rsid w:val="00E7590E"/>
    <w:rsid w:val="00E817D3"/>
    <w:rsid w:val="00EA1325"/>
    <w:rsid w:val="00EE0BB3"/>
    <w:rsid w:val="00EF3309"/>
    <w:rsid w:val="00EF7C72"/>
    <w:rsid w:val="00F05684"/>
    <w:rsid w:val="00F12A88"/>
    <w:rsid w:val="00F1727B"/>
    <w:rsid w:val="00F17FAB"/>
    <w:rsid w:val="00F27C0F"/>
    <w:rsid w:val="00F40948"/>
    <w:rsid w:val="00F4210A"/>
    <w:rsid w:val="00F80FFA"/>
    <w:rsid w:val="00F83C07"/>
    <w:rsid w:val="00F97FB0"/>
    <w:rsid w:val="00FC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Courier New"/>
      <w:sz w:val="20"/>
      <w:szCs w:val="20"/>
      <w:lang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rsid w:val="00EF33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33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0763"/>
  </w:style>
  <w:style w:type="paragraph" w:styleId="a6">
    <w:name w:val="List Paragraph"/>
    <w:basedOn w:val="a"/>
    <w:uiPriority w:val="34"/>
    <w:qFormat/>
    <w:rsid w:val="00193C73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"/>
    <w:rsid w:val="00D77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D77787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7E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locked/>
    <w:rsid w:val="00763ED3"/>
    <w:rPr>
      <w:rFonts w:ascii="Courier New" w:hAnsi="Courier New" w:cs="Courier New"/>
      <w:sz w:val="20"/>
      <w:szCs w:val="20"/>
      <w:lang w:val="x-none"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rsid w:val="00EF33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33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0763"/>
  </w:style>
  <w:style w:type="paragraph" w:styleId="a6">
    <w:name w:val="List Paragraph"/>
    <w:basedOn w:val="a"/>
    <w:uiPriority w:val="34"/>
    <w:qFormat/>
    <w:rsid w:val="00193C73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"/>
    <w:rsid w:val="00D77787"/>
    <w:rPr>
      <w:rFonts w:ascii="Tahoma" w:hAnsi="Tahoma" w:cs="Tahoma"/>
      <w:sz w:val="16"/>
      <w:szCs w:val="16"/>
    </w:rPr>
  </w:style>
  <w:style w:type="character" w:customStyle="1" w:styleId="Char">
    <w:name w:val="Balloon Text Char"/>
    <w:link w:val="a7"/>
    <w:rsid w:val="00D77787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7E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701A-D4ED-44E1-A730-95233EEAC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67B7B-04D6-4E1E-933F-5C0348E702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5EE231-C5C3-4F2B-A5F7-27855C38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BEC63-DFFA-4134-9651-8F33F5CA9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FA79696-5F37-455E-8160-C8326C5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Θεμάτων Προσωπικού</vt:lpstr>
    </vt:vector>
  </TitlesOfParts>
  <Company>MOU DP sa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Θεμάτων Προσωπικού</dc:title>
  <dc:creator>ΔΟΥΛΓΕΡΩΦ ΙΒΑΝΑ (Ivana Doulgerof)</dc:creator>
  <cp:lastModifiedBy>user</cp:lastModifiedBy>
  <cp:revision>30</cp:revision>
  <cp:lastPrinted>2013-10-14T14:33:00Z</cp:lastPrinted>
  <dcterms:created xsi:type="dcterms:W3CDTF">2015-08-19T08:29:00Z</dcterms:created>
  <dcterms:modified xsi:type="dcterms:W3CDTF">2017-03-09T09:22:00Z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  <property fmtid="{D5CDD505-2E9C-101B-9397-08002B2CF9AE}" pid="3" name="Order">
    <vt:lpwstr>31900.0000000000</vt:lpwstr>
  </property>
  <property fmtid="{D5CDD505-2E9C-101B-9397-08002B2CF9AE}" pid="4" name="ΕΤΟΣ">
    <vt:lpwstr>2013</vt:lpwstr>
  </property>
  <property fmtid="{D5CDD505-2E9C-101B-9397-08002B2CF9AE}" pid="5" name="ContentTypeId">
    <vt:lpwstr>0x010100A42CE8228AFC6B4F829CF3426573F284</vt:lpwstr>
  </property>
</Properties>
</file>