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5244BC68" w:rsidR="007B4971" w:rsidRPr="003B31A2" w:rsidRDefault="007B4971" w:rsidP="00EE7E6E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EE7E6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Επιλογή1"/>
            <w:r w:rsidR="00EE7E6E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536205">
              <w:rPr>
                <w:rFonts w:ascii="Tahoma" w:hAnsi="Tahoma" w:cs="Tahoma"/>
                <w:sz w:val="16"/>
                <w:szCs w:val="16"/>
              </w:rPr>
            </w:r>
            <w:r w:rsidR="00536205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E7E6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748B1" w:rsidRPr="00F40948" w14:paraId="7C9DD411" w14:textId="77777777" w:rsidTr="00134327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7C9DD40D" w14:textId="77777777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40A2C631" w14:textId="77777777" w:rsidR="004B6252" w:rsidRDefault="004B6252" w:rsidP="004B6252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Γ</w:t>
            </w:r>
            <w:r w:rsidRPr="004F38B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, Γ </w:t>
            </w:r>
            <w:r w:rsidRPr="004F38B9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  <w:p w14:paraId="7C9DD40E" w14:textId="52BB0F4E" w:rsidR="003748B1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0F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0" w14:textId="2AE6797A" w:rsidR="003748B1" w:rsidRPr="00ED162C" w:rsidRDefault="00ED162C" w:rsidP="00C80D8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ED162C">
              <w:rPr>
                <w:rFonts w:ascii="Tahoma" w:hAnsi="Tahoma" w:cs="Tahoma"/>
                <w:bCs/>
                <w:sz w:val="16"/>
                <w:szCs w:val="16"/>
              </w:rPr>
              <w:t>Προϊστάμενος Διαχείρισης</w:t>
            </w:r>
            <w:r w:rsidR="00C62637" w:rsidRPr="00ED162C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E7E6E" w:rsidRPr="00ED162C">
              <w:rPr>
                <w:rFonts w:ascii="Tahoma" w:hAnsi="Tahoma" w:cs="Tahoma"/>
                <w:bCs/>
                <w:sz w:val="16"/>
                <w:szCs w:val="16"/>
              </w:rPr>
              <w:t>Πράξεων</w:t>
            </w:r>
          </w:p>
        </w:tc>
      </w:tr>
      <w:tr w:rsidR="003748B1" w:rsidRPr="00F40948" w14:paraId="7C9DD415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7C9DD412" w14:textId="77777777" w:rsidR="003748B1" w:rsidRPr="000E0754" w:rsidRDefault="003748B1" w:rsidP="00C8511D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3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4" w14:textId="72D52B14" w:rsidR="003748B1" w:rsidRPr="000E0754" w:rsidRDefault="00ED162C" w:rsidP="00FC52C0">
            <w:pPr>
              <w:rPr>
                <w:rFonts w:ascii="Tahoma" w:hAnsi="Tahoma" w:cs="Tahoma"/>
                <w:sz w:val="16"/>
                <w:szCs w:val="16"/>
              </w:rPr>
            </w:pPr>
            <w:r w:rsidRPr="004B4453">
              <w:rPr>
                <w:rFonts w:ascii="Tahoma" w:hAnsi="Tahoma" w:cs="Tahoma"/>
                <w:bCs/>
                <w:sz w:val="16"/>
                <w:szCs w:val="16"/>
              </w:rPr>
              <w:t>Ο Προϊστάμενος της ΕΥΔ</w:t>
            </w:r>
          </w:p>
        </w:tc>
      </w:tr>
      <w:tr w:rsidR="003748B1" w:rsidRPr="00F40948" w14:paraId="7C9DD419" w14:textId="77777777" w:rsidTr="00134327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6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7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8" w14:textId="43979C21" w:rsidR="003748B1" w:rsidRPr="000E0754" w:rsidRDefault="00ED162C" w:rsidP="00D631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Τα στελέχη της Μονάδας</w:t>
            </w:r>
          </w:p>
        </w:tc>
      </w:tr>
      <w:tr w:rsidR="003748B1" w:rsidRPr="00F40948" w14:paraId="7C9DD41D" w14:textId="77777777" w:rsidTr="00134327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C9DD41A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B" w14:textId="77777777" w:rsidR="003748B1" w:rsidRPr="000E0754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1C" w14:textId="1F87BC62" w:rsidR="003748B1" w:rsidRPr="000E0754" w:rsidRDefault="00ED162C" w:rsidP="00D631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Τον κατά βαθμό ανώτερο υπάλληλο της Μονάδας. Σε περίπτωση ομοιοβάθμων, αναπληρωτής είναι ο υπάλληλος που έχει τον περισσότερο χρόνο υπηρεσίας στο βαθμό.</w:t>
            </w:r>
          </w:p>
        </w:tc>
      </w:tr>
      <w:tr w:rsidR="003748B1" w:rsidRPr="00F40948" w14:paraId="7C9DD421" w14:textId="77777777" w:rsidTr="00134327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7C9DD41E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9DD41F" w14:textId="77777777" w:rsidR="003748B1" w:rsidRPr="004D11B2" w:rsidRDefault="003748B1" w:rsidP="00D63145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C9DD420" w14:textId="4007F179" w:rsidR="003748B1" w:rsidRPr="000E0754" w:rsidRDefault="00ED162C" w:rsidP="007774BF">
            <w:pPr>
              <w:rPr>
                <w:rFonts w:ascii="Tahoma" w:hAnsi="Tahoma" w:cs="Tahoma"/>
                <w:sz w:val="16"/>
                <w:szCs w:val="16"/>
              </w:rPr>
            </w:pPr>
            <w:r w:rsidRPr="00181D9D">
              <w:rPr>
                <w:rFonts w:ascii="Tahoma" w:hAnsi="Tahoma" w:cs="Tahoma"/>
                <w:bCs/>
                <w:sz w:val="16"/>
                <w:szCs w:val="16"/>
              </w:rPr>
              <w:t>Ο έχων τη συνολική ευθύνη για τη λειτουργία και την αποτελεσματικότητα της Μονάδας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Γ</w:t>
            </w:r>
            <w:r w:rsidRPr="00181D9D">
              <w:rPr>
                <w:rFonts w:ascii="Tahoma" w:hAnsi="Tahoma" w:cs="Tahoma"/>
                <w:bCs/>
                <w:sz w:val="16"/>
                <w:szCs w:val="16"/>
              </w:rPr>
              <w:t xml:space="preserve"> «Διαχείρισης Πράξεων του ΕΠ»</w:t>
            </w:r>
          </w:p>
        </w:tc>
      </w:tr>
    </w:tbl>
    <w:p w14:paraId="7C9DD422" w14:textId="77777777" w:rsidR="003748B1" w:rsidRDefault="003748B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61"/>
      </w:tblGrid>
      <w:tr w:rsidR="003748B1" w:rsidRPr="009550B1" w14:paraId="7C9DD424" w14:textId="77777777" w:rsidTr="00A11E1A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4350DB">
        <w:trPr>
          <w:trHeight w:val="1714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059149BE" w14:textId="0B108977" w:rsidR="00EE7E6E" w:rsidRPr="00EE7E6E" w:rsidRDefault="00EE7E6E" w:rsidP="00EE7E6E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EE7E6E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Παρακολούθηση Υλοποίησης Πράξεων</w:t>
            </w:r>
          </w:p>
          <w:p w14:paraId="3DC9A064" w14:textId="77777777" w:rsidR="001F517A" w:rsidRPr="00181D9D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παρακολούθηση της πορείας υλοποίησης των Πράξεων του ΕΠ.</w:t>
            </w:r>
          </w:p>
          <w:p w14:paraId="7B1AFDCE" w14:textId="77DF33C0" w:rsidR="001F517A" w:rsidRPr="004B4453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4B445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όλες τις αναγκαίες ενέργειες προκειμένου να εξασφαλιστούν οι ετήσιες πιστώσεις και οι χρηματοδοτήσεις των έργων στο ΠΔΕ.</w:t>
            </w:r>
          </w:p>
          <w:p w14:paraId="5587D41A" w14:textId="77777777" w:rsidR="001F517A" w:rsidRPr="00181D9D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Διασφάλιση της λήψης των κατάλληλων μέτρων για την έγκαιρη επίλυση των προβλημάτων που έχουν εντοπιστεί κατά τη διάρκεια υλοποίησης των Πράξεων.</w:t>
            </w:r>
          </w:p>
          <w:p w14:paraId="56E0C47B" w14:textId="77777777" w:rsidR="001F517A" w:rsidRPr="00181D9D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Διασφάλιση της υλοποίησης των κατάλληλων ενεργειών για την υποστήριξη των Δικαιούχων.  </w:t>
            </w:r>
          </w:p>
          <w:p w14:paraId="07DE9720" w14:textId="77777777" w:rsidR="001F517A" w:rsidRPr="001C7C18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C7C1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για την έκδοση τυχόν τροποποίησης της Απόφασης Ένταξης.</w:t>
            </w:r>
          </w:p>
          <w:p w14:paraId="5C7F3455" w14:textId="67E73EFD" w:rsidR="00EE7E6E" w:rsidRDefault="00EE7E6E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για τη θέση σε καθεστώς επιτήρησης των Δικαιούχων του</w:t>
            </w:r>
            <w:r w:rsidR="00D1456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ΕΠ </w:t>
            </w:r>
            <w:r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που οι Πράξεις τους αποκλίνουν από την Απόφαση Ένταξης ή από το χρονικό προγραμματισμό υλοποίησής τους και πρόταση για διορθωτικά μέτρα και περίοδο συμμόρφωσης. Παρακολούθηση της υλοποίησης των διορθωτικών μέτρων.</w:t>
            </w:r>
          </w:p>
          <w:p w14:paraId="3730486C" w14:textId="7F694A1E" w:rsidR="00EE7E6E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σ</w:t>
            </w:r>
            <w:r w:rsid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υλλογή των αιτήσεων χορήγησης της ενίσχυσης που υποβάλλουν οι δικαιούχοι και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την έκδοση απόφασης πληρωμής.</w:t>
            </w:r>
          </w:p>
          <w:p w14:paraId="7AAF7018" w14:textId="0C3906E0" w:rsidR="003E0144" w:rsidRPr="00EE7E6E" w:rsidRDefault="003E0144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την καταβολή στους δικαιούχους της δικαιούμενης δημόσ</w:t>
            </w:r>
            <w:r w:rsidR="00D1456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ιας ενίσχυσης.</w:t>
            </w:r>
          </w:p>
          <w:p w14:paraId="17079279" w14:textId="77777777" w:rsidR="00EE7E6E" w:rsidRPr="00EE7E6E" w:rsidRDefault="00EE7E6E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για την ανάκληση της Απόφασης Ένταξης Πράξης, όπου απαιτείται.</w:t>
            </w:r>
          </w:p>
          <w:p w14:paraId="047075BF" w14:textId="77777777" w:rsidR="00D14561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παρακολούθηση των καθαρών εσόδων των Πράξεων που παράγουν έσοδα και ενημέρωση της Αρχής Πιστοποίησης, σύμφωνα με τις διατάξεις των Κανονισμών. </w:t>
            </w:r>
          </w:p>
          <w:p w14:paraId="24C6DEAF" w14:textId="77777777" w:rsidR="00EE7E6E" w:rsidRPr="00EE7E6E" w:rsidRDefault="00EE7E6E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Εισήγηση για την έκδοση της Απόφασης Ολοκλήρωσης της Πράξης. </w:t>
            </w:r>
          </w:p>
          <w:p w14:paraId="7C59B178" w14:textId="77777777" w:rsidR="00EE7E6E" w:rsidRPr="00EE7E6E" w:rsidRDefault="00EE7E6E" w:rsidP="00EE7E6E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EE7E6E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Προληπτικοί έλεγχοι δημοσίων συμβάσεων</w:t>
            </w:r>
          </w:p>
          <w:p w14:paraId="065EBA54" w14:textId="77777777" w:rsidR="00D14561" w:rsidRPr="00181D9D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Επιβεβαίωση των ελέγχων νομιμότητας των διακηρύξεων, των διαδικασιών ανάθεσης των δημοσίων συμβάσεων και των τροποποιήσεων αυτών.</w:t>
            </w:r>
          </w:p>
          <w:p w14:paraId="75188AB0" w14:textId="77777777" w:rsidR="00EE7E6E" w:rsidRPr="00EE7E6E" w:rsidRDefault="00EE7E6E" w:rsidP="00EE7E6E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EE7E6E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 xml:space="preserve">Διαχειριστικές (διοικητικές, επιτόπιες) Επαληθεύσεις Πράξεων </w:t>
            </w:r>
          </w:p>
          <w:p w14:paraId="5AC71AB9" w14:textId="77777777" w:rsidR="00D14561" w:rsidRPr="00181D9D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Επιβεβαίωση των διοικητικών επαληθεύσεων και των σχετικών εκθέσεων.</w:t>
            </w:r>
          </w:p>
          <w:p w14:paraId="235916F5" w14:textId="77777777" w:rsidR="00D14561" w:rsidRPr="00181D9D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Οριστικοποίηση των αποτελεσμάτων που προκύπτουν από την εφαρμογή της δειγματοληπτικής μεθόδου, βάσει της οποίας επιλέγονται οι προς επαλήθευση Πράξεις.</w:t>
            </w:r>
          </w:p>
          <w:p w14:paraId="2BD27020" w14:textId="77777777" w:rsidR="00D14561" w:rsidRPr="00181D9D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κατάρτιση του προγράμματος επιτόπιων επαληθεύσεων και την εφαρμογή του. </w:t>
            </w:r>
          </w:p>
          <w:p w14:paraId="43243B2A" w14:textId="77777777" w:rsidR="00D14561" w:rsidRPr="00181D9D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για τη συγκρότηση οργάνων επιτόπιων επαληθεύσεων και διασφάλιση της έγκαιρης σύνταξης των σχετικών εκθέσεων</w:t>
            </w:r>
          </w:p>
          <w:p w14:paraId="5FFE954B" w14:textId="77777777" w:rsidR="00D14561" w:rsidRPr="000E0B40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έγκαιρη ενημέρωση της Αρχής Πιστοποίησης σε περίπτωση σοβαρών </w:t>
            </w: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ενδείξεων για την ύπαρξη παραβάσεων εθνικού ή κοινοτικού δικαίου και εισήγηση για την αναστολή χρηματοδότησης της Πράξης, όπου απαιτείται.</w:t>
            </w:r>
          </w:p>
          <w:p w14:paraId="2A1D1AAA" w14:textId="331A587D" w:rsidR="00EE7E6E" w:rsidRPr="00EE7E6E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Εποπτεία π</w:t>
            </w:r>
            <w:r w:rsidR="00EE7E6E"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αρακολούθηση της συμμόρφωσης με συστάσεις σε συνέχεια εκθέσεων διοικητικών και επιτόπιων επαληθεύσεων.</w:t>
            </w:r>
          </w:p>
          <w:p w14:paraId="3994B21E" w14:textId="385F43D2" w:rsidR="00EE7E6E" w:rsidRPr="00EE7E6E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π</w:t>
            </w:r>
            <w:r w:rsidR="00EE7E6E"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αρακολούθηση της τήρησης, όπου απαιτείται, των μακροχρόνιων υποχρεώσεων από τους Δικαιούχους, σύμφωνα με το ισχύον θεσμικό πλαίσιο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1881F1E2" w14:textId="38AF7671" w:rsidR="00EE7E6E" w:rsidRPr="00EE7E6E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</w:t>
            </w:r>
            <w:r w:rsidR="00EE7E6E"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ώστε ο Δικαιούχος να λαμβάνει πλήρως το συνολικό ποσό της οφειλόμενης επιλέξιμης δαπάνης, εντός των προθεσμιών που θέτει το θεσμικό πλαίσιο.</w:t>
            </w:r>
          </w:p>
          <w:p w14:paraId="4C291B6E" w14:textId="77777777" w:rsidR="00EE7E6E" w:rsidRDefault="00EE7E6E" w:rsidP="00EE7E6E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EE7E6E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Επαληθεύσεις/ επιθεωρήσεις σε Ενδιάμεσους Φορείς</w:t>
            </w:r>
          </w:p>
          <w:p w14:paraId="09B4708F" w14:textId="6C38BE78" w:rsidR="003E0144" w:rsidRPr="00E84E87" w:rsidRDefault="00D14561" w:rsidP="00E84E87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84E8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Εποπτεία π</w:t>
            </w:r>
            <w:r w:rsidR="003E0144" w:rsidRPr="00E84E8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αρακολούθηση</w:t>
            </w:r>
            <w:r w:rsidRPr="00E84E8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3E0144" w:rsidRPr="00E84E8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των Ενδιάμεσων Φορέων, ως προς την άσκηση των καθη</w:t>
            </w:r>
            <w:r w:rsidRPr="00E84E8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κόντων που τους έχουν εκχωρηθεί.</w:t>
            </w:r>
          </w:p>
          <w:p w14:paraId="571E4ECF" w14:textId="7ABC863F" w:rsidR="00245F76" w:rsidRPr="00E84E87" w:rsidRDefault="00245F76" w:rsidP="00E84E87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84E8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ενημέρωση της Μονάδας Α και εισήγηση για διορθωτικά μέτρα</w:t>
            </w:r>
          </w:p>
          <w:p w14:paraId="752BED6D" w14:textId="77777777" w:rsidR="00D14561" w:rsidRPr="00D14561" w:rsidRDefault="00D14561" w:rsidP="00E84E87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D1456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Εποπτεία και συντονισμός της διενέργειας διοικητικών και επιτόπιων επαληθεύσεων στους Ενδιάμεσους Φορείς του ΕΠ, ώστε να επιβεβαιωθεί η ικανότητα να ασκούν ορθά τα καθήκοντά τους, σύμφωνα με το ΣΔΕ. Συνεργασία με  άλλες Μονάδες της ΕΥΔ.</w:t>
            </w:r>
          </w:p>
          <w:p w14:paraId="1A8F73AC" w14:textId="77777777" w:rsidR="00EE7E6E" w:rsidRPr="00EE7E6E" w:rsidRDefault="00EE7E6E" w:rsidP="00EE7E6E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EE7E6E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Παρακολούθηση πορισμάτων ελέγχου</w:t>
            </w:r>
          </w:p>
          <w:p w14:paraId="0C554BFA" w14:textId="373EDCFA" w:rsidR="00EE7E6E" w:rsidRPr="00EE7E6E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</w:t>
            </w:r>
            <w:r w:rsidR="00EE7E6E"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για την υποβολή απαντήσεων σε σχετικά πορίσματα ελέγχου που διενεργούνται από τα αρμόδια εθνικά και κοινοτικά ελεγκτικά όργανα. Συνεργασία με την ΕΑΣ και την Αρχή Ελέγχου, εφόσον απαιτείται. </w:t>
            </w:r>
          </w:p>
          <w:p w14:paraId="3F507C07" w14:textId="2CA6E4AC" w:rsidR="00EE7E6E" w:rsidRPr="00EE7E6E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π</w:t>
            </w:r>
            <w:r w:rsidR="00EE7E6E"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αρακολούθηση της συμμόρφωσης με σχετικές συστάσεις σε συνέχεια πορισμάτων ελέγχων.</w:t>
            </w:r>
          </w:p>
          <w:p w14:paraId="0DB2F9F4" w14:textId="77777777" w:rsidR="00EE7E6E" w:rsidRPr="00EE7E6E" w:rsidRDefault="00EE7E6E" w:rsidP="00EE7E6E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EE7E6E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Δημοσιονομικές Διορθώσεις/ Ανακτήσεις</w:t>
            </w:r>
          </w:p>
          <w:p w14:paraId="6C94BE66" w14:textId="77777777" w:rsidR="00D14561" w:rsidRPr="00101E91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01E9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Εισήγηση για την έκδοση απόφασης δημοσιονομικής διόρθωσης. Εισήγηση για την έκδοση απόφασης ανάκτησης </w:t>
            </w:r>
            <w:proofErr w:type="spellStart"/>
            <w:r w:rsidRPr="00101E9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αχρεωστήτως</w:t>
            </w:r>
            <w:proofErr w:type="spellEnd"/>
            <w:r w:rsidRPr="00101E91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καταβληθέντων ποσών. Ευθύνη για την παρακολούθηση της ανάκτησης των σχετικών ποσών.</w:t>
            </w:r>
          </w:p>
          <w:p w14:paraId="13EA2BFF" w14:textId="77777777" w:rsidR="00EE7E6E" w:rsidRPr="00EE7E6E" w:rsidRDefault="00EE7E6E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Στην περίπτωση διαπίστωσης παράβασης εθνικού ή κοινοτικού δικαίου, προετοιμασία φακέλου για διαβίβαση σχετικών στοιχείων στις αρμόδιες αρχές/ όργανα, σύμφωνα με το ΣΔΕ. </w:t>
            </w:r>
          </w:p>
          <w:p w14:paraId="699C8D4E" w14:textId="65E6177D" w:rsidR="00EE7E6E" w:rsidRPr="00EE7E6E" w:rsidRDefault="00EE7E6E" w:rsidP="00EE7E6E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EE7E6E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Καταγγελίες</w:t>
            </w:r>
          </w:p>
          <w:p w14:paraId="35E5D6E2" w14:textId="77777777" w:rsidR="00EE7E6E" w:rsidRPr="00EE7E6E" w:rsidRDefault="00EE7E6E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Σημείο επαφής για τις καταγγελίες που αφορούν σε συγχρηματοδοτούμενα έργα της προγραμματικής περιόδου 2014-2020, σύμφωνα με τα προβλεπόμενα στο ΣΔΕ.</w:t>
            </w:r>
          </w:p>
          <w:p w14:paraId="56249063" w14:textId="569253B9" w:rsidR="001F517A" w:rsidRPr="00D14561" w:rsidRDefault="00D14561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τ</w:t>
            </w:r>
            <w:r w:rsidR="00EE7E6E"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ήρηση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ς</w:t>
            </w:r>
            <w:r w:rsidR="00EE7E6E" w:rsidRPr="00EE7E6E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αρχείου καταγγελιών.</w:t>
            </w:r>
          </w:p>
          <w:p w14:paraId="237DF963" w14:textId="77777777" w:rsidR="001F517A" w:rsidRPr="00181D9D" w:rsidRDefault="001F517A" w:rsidP="001F517A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181D9D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Διοίκηση και Οργάνωση</w:t>
            </w:r>
          </w:p>
          <w:p w14:paraId="32D50988" w14:textId="3903AA42" w:rsidR="001F517A" w:rsidRPr="008F1198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8F119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Υποστήριξη του ρόλου του Προϊσταμένου της ΕΥΔ</w:t>
            </w:r>
            <w:r w:rsidR="0066289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31DB7395" w14:textId="30135782" w:rsidR="001F517A" w:rsidRPr="00181D9D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Σχεδιασμός, οργάνωση, συ</w:t>
            </w:r>
            <w:r w:rsidR="0066289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ντονισμός εργασιών της Μονάδας Γ</w:t>
            </w: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4AEDF86A" w14:textId="77777777" w:rsidR="001F517A" w:rsidRPr="00181D9D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Διοίκηση προσωπικού και κατανομή εργασιών στο προσωπικό της Μονάδας λαμβάνοντας υπόψη τον όγκο της εργασίας και τις δεξιότητες των στελεχών.</w:t>
            </w:r>
          </w:p>
          <w:p w14:paraId="53C40EF0" w14:textId="038FC52A" w:rsidR="001F517A" w:rsidRPr="00D14561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Διάγνωση και αποτύπωση των αναγκών εκπαίδευσης/ κατάρτι</w:t>
            </w:r>
            <w:r w:rsidR="0066289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σης του προσωπικού της Μονάδας Γ</w:t>
            </w: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123CCD74" w14:textId="77777777" w:rsidR="00EE7E6E" w:rsidRPr="00EE7E6E" w:rsidRDefault="00EE7E6E" w:rsidP="00EE7E6E">
            <w:pPr>
              <w:spacing w:before="240" w:after="120"/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</w:pPr>
            <w:r w:rsidRPr="00EE7E6E">
              <w:rPr>
                <w:rFonts w:ascii="Tahoma" w:hAnsi="Tahoma" w:cs="Tahoma"/>
                <w:b/>
                <w:bCs/>
                <w:color w:val="000080"/>
                <w:sz w:val="18"/>
                <w:szCs w:val="18"/>
              </w:rPr>
              <w:t>Άλλα Καθήκοντα</w:t>
            </w:r>
          </w:p>
          <w:p w14:paraId="0A484249" w14:textId="4A14ACF2" w:rsidR="001F517A" w:rsidRPr="00181D9D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Συνεργασία με ΕΑΣ και ΕΕ και παροχή όλων των αναγκαίων πλη</w:t>
            </w:r>
            <w:r w:rsidR="0066289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ροφοριών σε θέματα της Μονάδας Γ</w:t>
            </w: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11239B73" w14:textId="77777777" w:rsidR="001F517A" w:rsidRPr="00181D9D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προς ΕΑΣ για λήψη μέτρων βελτίωσης του συστήματος διαχείρισης και ελέγχου.</w:t>
            </w:r>
          </w:p>
          <w:p w14:paraId="1E0F55B5" w14:textId="77777777" w:rsidR="001F517A" w:rsidRPr="00181D9D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Ευθύνη για την εξασφάλιση υποστήριξης, σε ειδικές περιπτώσεις (εξειδικευμένα ή πολύπλοκα έργα) και προσδιορισμό του είδους της εξωτερικής συνδρομής (χρησιμοποίηση εμπειρογνωμόνων κλπ.).</w:t>
            </w:r>
          </w:p>
          <w:p w14:paraId="4D57CCCE" w14:textId="1F800075" w:rsidR="001F517A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τήρηση αρχείων των θε</w:t>
            </w:r>
            <w:r w:rsidR="0066289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μάτων αρμοδιότητας της Μονάδας Γ</w:t>
            </w: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</w:t>
            </w:r>
          </w:p>
          <w:p w14:paraId="2D77272F" w14:textId="63A8F96C" w:rsidR="00245F76" w:rsidRDefault="00245F76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Ευθύνη για την προετοιμασία της Διαχειριστικής Αρχής για την υποδοχή ελέγχου από ελεγκτικά όργανα</w:t>
            </w:r>
          </w:p>
          <w:p w14:paraId="64758231" w14:textId="21D0A479" w:rsidR="00245F76" w:rsidRPr="00245F76" w:rsidRDefault="00245F76" w:rsidP="00E84E87">
            <w:pPr>
              <w:pStyle w:val="ae"/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245F7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για την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π</w:t>
            </w:r>
            <w:r w:rsidRPr="00245F7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αροχή πληροφόρησης στην Αρχή Πιστοποίησης σχετικά με τις διαδικασίες και τις επαληθεύσεις που πραγματοποιούνται σε κάθε δαπάνη των πράξεων, για σκοπούς πιστοποίησης.</w:t>
            </w:r>
          </w:p>
          <w:p w14:paraId="3C58E2B0" w14:textId="5096C2FE" w:rsidR="001F517A" w:rsidRPr="00181D9D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Διασφάλιση της συλλογής και έγκαιρης καταχώρηση στο ΟΠΣ των απαραίτητων δεδομένων που αφορούν</w:t>
            </w:r>
            <w:r w:rsidR="0066289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στις αρμοδιότητες της Μονάδας Γ</w:t>
            </w: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. Ευθύνη για την ακρίβεια, την ποιότητα και πληρότητα των στοιχείων που καταχωρίζει στο ΟΠΣ.  </w:t>
            </w:r>
          </w:p>
          <w:p w14:paraId="38FD4A56" w14:textId="77777777" w:rsidR="001F517A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Μέριμνα για την έκδοση όλων των απαραίτητων εγγράφων και αποφάσεων που προβλέπονται από το ΣΔΕ.</w:t>
            </w:r>
          </w:p>
          <w:p w14:paraId="68199B42" w14:textId="568426C0" w:rsidR="001F517A" w:rsidRPr="00181D9D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Εισήγηση εκπόνησης μελετών, ερευνών, εμπειρογνωμοσυνών, εγχειριδίων διαδικασιών σχετικών</w:t>
            </w:r>
            <w:r w:rsidR="0066289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με το αντικείμενο της Μονάδας Γ</w:t>
            </w: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.</w:t>
            </w:r>
          </w:p>
          <w:p w14:paraId="396620E6" w14:textId="77777777" w:rsidR="001F517A" w:rsidRPr="00181D9D" w:rsidRDefault="001F517A" w:rsidP="00D14561">
            <w:pPr>
              <w:numPr>
                <w:ilvl w:val="0"/>
                <w:numId w:val="21"/>
              </w:numPr>
              <w:spacing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Συμμετοχή σε Θεματικά Δίκτυα, καθώς και σε Επιτροπές και Ομάδες Εργασίας που συγκροτούνται, κατά περίπτωση, στο πλαίσιο λειτουργίας της ΕΥ και του ΕΣΠΑ.  </w:t>
            </w:r>
          </w:p>
          <w:p w14:paraId="7C9DD444" w14:textId="1E08DCF1" w:rsidR="003748B1" w:rsidRPr="00EE7E6E" w:rsidRDefault="001F517A" w:rsidP="00D14561">
            <w:pPr>
              <w:numPr>
                <w:ilvl w:val="0"/>
                <w:numId w:val="21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Συμμετοχή σε διεθνή και ευρωπαϊκά συνέδρια και συναντήσεις.</w:t>
            </w:r>
          </w:p>
        </w:tc>
      </w:tr>
    </w:tbl>
    <w:p w14:paraId="7C9DD446" w14:textId="77777777" w:rsidR="003748B1" w:rsidRDefault="003748B1" w:rsidP="00763ED3"/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48" w14:textId="77777777" w:rsidTr="006F427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7C9DD447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lastRenderedPageBreak/>
              <w:t>2. ΣΧΕΣΕΙΣ ΣΥΝΕΡΓΑΣΙΑΣ</w:t>
            </w:r>
          </w:p>
        </w:tc>
      </w:tr>
      <w:tr w:rsidR="003748B1" w:rsidRPr="00371252" w14:paraId="7C9DD454" w14:textId="77777777" w:rsidTr="0057457B">
        <w:trPr>
          <w:trHeight w:val="11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A4B917" w14:textId="77777777" w:rsidR="00D14561" w:rsidRPr="00181D9D" w:rsidRDefault="00D14561" w:rsidP="00D14561">
            <w:pPr>
              <w:pStyle w:val="ae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Υπηρεσίες Εθνικής Αρχής Συντονισμού</w:t>
            </w:r>
          </w:p>
          <w:p w14:paraId="415D80F8" w14:textId="77777777" w:rsidR="00D14561" w:rsidRPr="00181D9D" w:rsidRDefault="00D14561" w:rsidP="00D14561">
            <w:pPr>
              <w:pStyle w:val="ae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Αρχή Πιστοποίησης</w:t>
            </w:r>
          </w:p>
          <w:p w14:paraId="3B298D39" w14:textId="77777777" w:rsidR="00D14561" w:rsidRPr="00181D9D" w:rsidRDefault="00D14561" w:rsidP="00D14561">
            <w:pPr>
              <w:pStyle w:val="ae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Γενική Γραμματεία Καταπολέμησης της Διαφθοράς, που έχει οριστεί και ως η αρμόδια Εθνική Αρχή για το Συντονισμό της καταπολέμησης της απάτης (</w:t>
            </w: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AFCOS</w:t>
            </w: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)</w:t>
            </w:r>
          </w:p>
          <w:p w14:paraId="441BA976" w14:textId="77777777" w:rsidR="00D14561" w:rsidRPr="00181D9D" w:rsidRDefault="00D14561" w:rsidP="00D14561">
            <w:pPr>
              <w:pStyle w:val="ae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Φορείς χρηματοδότησης, ΔΔΕ</w:t>
            </w:r>
          </w:p>
          <w:p w14:paraId="7440E0F7" w14:textId="77777777" w:rsidR="00D14561" w:rsidRPr="00181D9D" w:rsidRDefault="00D14561" w:rsidP="00D14561">
            <w:pPr>
              <w:pStyle w:val="ae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Ελεγκτικές Αρχές/ Φορείς</w:t>
            </w:r>
          </w:p>
          <w:p w14:paraId="78036068" w14:textId="77777777" w:rsidR="00D14561" w:rsidRPr="00181D9D" w:rsidRDefault="00D14561" w:rsidP="00D14561">
            <w:pPr>
              <w:pStyle w:val="ae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Άλλες ΕΥΔ</w:t>
            </w:r>
          </w:p>
          <w:p w14:paraId="34967F93" w14:textId="77777777" w:rsidR="00D14561" w:rsidRPr="00A10A11" w:rsidRDefault="00D14561" w:rsidP="00D14561">
            <w:pPr>
              <w:pStyle w:val="ae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Ενδιάμεσοι Φορείς</w:t>
            </w:r>
          </w:p>
          <w:p w14:paraId="0CA905BE" w14:textId="77777777" w:rsidR="00D14561" w:rsidRDefault="00D14561" w:rsidP="00D14561">
            <w:pPr>
              <w:pStyle w:val="ae"/>
              <w:numPr>
                <w:ilvl w:val="0"/>
                <w:numId w:val="6"/>
              </w:numPr>
              <w:spacing w:before="60" w:after="60"/>
              <w:contextualSpacing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181D9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Δικαιούχοι</w:t>
            </w:r>
          </w:p>
          <w:p w14:paraId="7C9DD453" w14:textId="4B4E0D9C" w:rsidR="003748B1" w:rsidRPr="00074B13" w:rsidRDefault="00D14561" w:rsidP="00D14561">
            <w:pPr>
              <w:numPr>
                <w:ilvl w:val="0"/>
                <w:numId w:val="6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ΜΟΔ</w:t>
            </w:r>
          </w:p>
        </w:tc>
      </w:tr>
    </w:tbl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77112A7C" w:rsidR="00281DD5" w:rsidRPr="00676765" w:rsidRDefault="00281DD5" w:rsidP="0088168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</w:t>
            </w:r>
            <w:r w:rsidR="009F1C53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ΟΣΟΝΤΑ ΚΑΛΥΨΗΣ ΘΕΣΗΣ ΕΡΓΑΣΙΑΣ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77777777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 ΠΕ:</w:t>
            </w:r>
          </w:p>
        </w:tc>
      </w:tr>
      <w:tr w:rsidR="009F1C53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9A00613" w14:textId="77777777" w:rsidR="009F1C53" w:rsidRPr="00791879" w:rsidRDefault="009F1C53" w:rsidP="00032967">
            <w:pPr>
              <w:spacing w:after="120"/>
              <w:ind w:left="7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6B15E0BD" w14:textId="77777777" w:rsidR="009F1C53" w:rsidRPr="00F85C3C" w:rsidRDefault="009F1C53" w:rsidP="009F1C53">
            <w:pPr>
              <w:pStyle w:val="ae"/>
              <w:numPr>
                <w:ilvl w:val="0"/>
                <w:numId w:val="25"/>
              </w:numPr>
              <w:spacing w:line="360" w:lineRule="auto"/>
              <w:ind w:left="601"/>
              <w:rPr>
                <w:rFonts w:ascii="Tahoma" w:hAnsi="Tahoma" w:cs="Tahoma"/>
                <w:sz w:val="18"/>
                <w:szCs w:val="18"/>
              </w:rPr>
            </w:pPr>
            <w:r w:rsidRPr="00F85C3C">
              <w:rPr>
                <w:rFonts w:ascii="Tahoma" w:hAnsi="Tahoma" w:cs="Tahoma"/>
                <w:sz w:val="18"/>
                <w:szCs w:val="18"/>
              </w:rPr>
              <w:t>Πτυχίο ή δίπλωμα Α.Ε.Ι (ΠΕ/TE) της ημεδαπής ή ισότιμου διπλώματος ιδρύματος της αλλοδαπής</w:t>
            </w:r>
          </w:p>
          <w:p w14:paraId="415BAAB2" w14:textId="77777777" w:rsidR="009F1C53" w:rsidRPr="00185550" w:rsidRDefault="009F1C53" w:rsidP="00032967">
            <w:pPr>
              <w:spacing w:line="360" w:lineRule="auto"/>
              <w:ind w:left="459" w:hanging="142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2. Επαγγελματική εμπειρία:</w:t>
            </w:r>
          </w:p>
          <w:p w14:paraId="74B04833" w14:textId="77777777" w:rsidR="009F1C53" w:rsidRPr="00185550" w:rsidRDefault="009F1C53" w:rsidP="00032967">
            <w:pPr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8ετής για τους κατόχους πτυχίου ή διπλώματος της ημεδαπής ή ισότιμου ιδρύματος της αλλοδαπής</w:t>
            </w:r>
          </w:p>
          <w:p w14:paraId="29CECF0E" w14:textId="77777777" w:rsidR="009F1C53" w:rsidRPr="00185550" w:rsidRDefault="009F1C53" w:rsidP="00032967">
            <w:pPr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6ετής για τους κατόχους μεταπτυχιακού τίτλου της ημεδαπής ή αναγνωρισμένου όμοιου τίτλου της αλλοδαπής ετήσιας τουλάχιστον φοίτησης και για τους απόφοιτους της Εθνικής Σχολής Δημόσιας Διοίκησης</w:t>
            </w:r>
          </w:p>
          <w:p w14:paraId="7DEA0FBE" w14:textId="77777777" w:rsidR="009F1C53" w:rsidRPr="00791879" w:rsidRDefault="009F1C53" w:rsidP="00032967">
            <w:pPr>
              <w:numPr>
                <w:ilvl w:val="0"/>
                <w:numId w:val="20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5ετής για τους κατόχους διδακτορικού διπλώματος της ημεδαπής ή ισότιμου της αλλοδαπής</w:t>
            </w:r>
          </w:p>
          <w:p w14:paraId="176AED0E" w14:textId="77777777" w:rsidR="009F1C53" w:rsidRPr="00791879" w:rsidRDefault="009F1C53" w:rsidP="0003296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7C14DD77" w14:textId="77777777" w:rsidR="009F1C53" w:rsidRPr="00791879" w:rsidRDefault="009F1C53" w:rsidP="00032967">
            <w:pPr>
              <w:spacing w:after="120"/>
              <w:ind w:left="7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478124F4" w14:textId="77777777" w:rsidR="009F1C53" w:rsidRPr="009F1C53" w:rsidRDefault="009F1C53" w:rsidP="00032967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Καλή γνώση ή/και εμπειρία επί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στα θεματικά αντικείμενα του τομέα ευθύνης της Ε.Υ.</w:t>
            </w:r>
          </w:p>
          <w:p w14:paraId="3B35027E" w14:textId="639976AC" w:rsidR="009F1C53" w:rsidRPr="00185550" w:rsidRDefault="009F1C53" w:rsidP="00032967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Γνώση ή/και εμπειρία του θεσμικού πλαισίου Δημοσίων Συμβάσεων </w:t>
            </w:r>
          </w:p>
          <w:p w14:paraId="40736EE5" w14:textId="77777777" w:rsidR="009F1C53" w:rsidRPr="00185550" w:rsidRDefault="009F1C53" w:rsidP="00032967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διοίκησης και οργάνωσης</w:t>
            </w:r>
          </w:p>
          <w:p w14:paraId="27722142" w14:textId="77777777" w:rsidR="009F1C53" w:rsidRPr="00185550" w:rsidRDefault="009F1C53" w:rsidP="00032967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6072A130" w14:textId="77777777" w:rsidR="009F1C53" w:rsidRPr="00185550" w:rsidRDefault="009F1C53" w:rsidP="00032967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 xml:space="preserve">Ικανότητα παρακίνησης υφισταμένων και εστίασης στο αποτέλεσμα </w:t>
            </w:r>
          </w:p>
          <w:p w14:paraId="289EA1D4" w14:textId="77777777" w:rsidR="009F1C53" w:rsidRPr="00185550" w:rsidRDefault="009F1C53" w:rsidP="00032967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επικοινωνίας και ευελιξίας</w:t>
            </w:r>
          </w:p>
          <w:p w14:paraId="68B3115D" w14:textId="77777777" w:rsidR="009F1C53" w:rsidRPr="00185550" w:rsidRDefault="009F1C53" w:rsidP="00032967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Καλή γνώση μίας ξένης κοινοτικής γλώσσας</w:t>
            </w:r>
          </w:p>
          <w:p w14:paraId="38AE0456" w14:textId="77777777" w:rsidR="009F1C53" w:rsidRPr="00185550" w:rsidRDefault="009F1C53" w:rsidP="00032967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χρήσης εφαρμογών αυτοματισμού γραφείου, υπηρεσιών Internet</w:t>
            </w:r>
          </w:p>
          <w:p w14:paraId="06E93222" w14:textId="77777777" w:rsidR="009F1C53" w:rsidRPr="00791879" w:rsidRDefault="009F1C53" w:rsidP="00032967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Ικανότητα αντίληψης ηλεκτρονικών εφαρμογών παρακολούθησης διαδικασιών δημόσιου τομέα (π.χ. ΟΠΣ, ΠΣΚΕ -Πληροφοριακό σύστημα κρατικών ενισχύσεων</w:t>
            </w:r>
          </w:p>
          <w:p w14:paraId="3CCEAD33" w14:textId="77777777" w:rsidR="009F1C53" w:rsidRPr="00791879" w:rsidRDefault="009F1C53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65CBB844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</w:t>
            </w:r>
            <w:r w:rsidR="009F1C5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ΠΡΟΣΘΕΤΑ/ ΕΠΙΘΥΜΗΤΑ ΠΡΟΣΟΝΤΑ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F1C53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62D58852" w14:textId="77777777" w:rsidR="009F1C53" w:rsidRPr="00185550" w:rsidRDefault="009F1C53" w:rsidP="009F1C53">
            <w:pPr>
              <w:numPr>
                <w:ilvl w:val="0"/>
                <w:numId w:val="26"/>
              </w:numPr>
              <w:spacing w:before="6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lastRenderedPageBreak/>
              <w:t>Μεταπτυχιακές σπουδές κατά προτίμηση στα θεματικά αντικείμενα του τομέα ευθύνης της Ε.Υ.</w:t>
            </w:r>
          </w:p>
          <w:p w14:paraId="34DB9C7D" w14:textId="77777777" w:rsidR="009F1C53" w:rsidRPr="00185550" w:rsidRDefault="009F1C53" w:rsidP="009F1C53">
            <w:pPr>
              <w:numPr>
                <w:ilvl w:val="0"/>
                <w:numId w:val="26"/>
              </w:numPr>
              <w:tabs>
                <w:tab w:val="clear" w:pos="360"/>
                <w:tab w:val="num" w:pos="601"/>
              </w:tabs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 xml:space="preserve">Γνώση δεύτερης ξένης κοινοτικής γλώσσας </w:t>
            </w:r>
          </w:p>
          <w:p w14:paraId="1B40EAD7" w14:textId="680F340F" w:rsidR="009F1C53" w:rsidRPr="00791879" w:rsidRDefault="009F1C53" w:rsidP="009F1C53">
            <w:pPr>
              <w:numPr>
                <w:ilvl w:val="0"/>
                <w:numId w:val="27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85550">
              <w:rPr>
                <w:rFonts w:ascii="Tahoma" w:hAnsi="Tahoma" w:cs="Tahoma"/>
                <w:sz w:val="18"/>
                <w:szCs w:val="18"/>
              </w:rPr>
              <w:t>Άσκηση αρμοδιοτήτων διοίκησης σε οποιοδήποτε επίπεδο</w:t>
            </w:r>
          </w:p>
        </w:tc>
      </w:tr>
    </w:tbl>
    <w:p w14:paraId="3ACBBAE6" w14:textId="3476AF9A" w:rsidR="00281DD5" w:rsidRDefault="00281DD5" w:rsidP="009F1C53">
      <w:pPr>
        <w:overflowPunct/>
        <w:autoSpaceDE/>
        <w:autoSpaceDN/>
        <w:adjustRightInd/>
        <w:jc w:val="left"/>
        <w:textAlignment w:val="auto"/>
      </w:pPr>
    </w:p>
    <w:p w14:paraId="7C9DD456" w14:textId="77777777" w:rsidR="006502E2" w:rsidRDefault="006502E2" w:rsidP="00763ED3"/>
    <w:sectPr w:rsidR="006502E2" w:rsidSect="00E84E87">
      <w:headerReference w:type="default" r:id="rId12"/>
      <w:footerReference w:type="default" r:id="rId13"/>
      <w:pgSz w:w="11906" w:h="16838"/>
      <w:pgMar w:top="1440" w:right="1800" w:bottom="1276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5D774" w14:textId="77777777" w:rsidR="00C7145B" w:rsidRDefault="00C7145B">
      <w:r>
        <w:separator/>
      </w:r>
    </w:p>
  </w:endnote>
  <w:endnote w:type="continuationSeparator" w:id="0">
    <w:p w14:paraId="3CB19F76" w14:textId="77777777" w:rsidR="00C7145B" w:rsidRDefault="00C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2A973" w14:textId="77777777" w:rsidR="00E84E87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E84E87" w:rsidRPr="00662F0B" w14:paraId="7A177E3A" w14:textId="77777777" w:rsidTr="008F3B31">
      <w:trPr>
        <w:jc w:val="center"/>
      </w:trPr>
      <w:tc>
        <w:tcPr>
          <w:tcW w:w="3383" w:type="dxa"/>
          <w:shd w:val="clear" w:color="auto" w:fill="auto"/>
        </w:tcPr>
        <w:p w14:paraId="687B98BC" w14:textId="77777777" w:rsidR="00E84E87" w:rsidRPr="00662F0B" w:rsidRDefault="00E84E87" w:rsidP="008F3B3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689F5D27" w14:textId="6F9CD2FD" w:rsidR="00E84E87" w:rsidRPr="00233335" w:rsidRDefault="00E84E87" w:rsidP="008F3B3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536205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44C5A0D9" w14:textId="77777777" w:rsidR="00E84E87" w:rsidRPr="00662F0B" w:rsidRDefault="00E84E87" w:rsidP="008F3B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536205">
            <w:rPr>
              <w:rFonts w:ascii="Tahoma" w:hAnsi="Tahoma" w:cs="Tahoma"/>
              <w:bCs/>
              <w:noProof/>
              <w:sz w:val="16"/>
              <w:szCs w:val="16"/>
            </w:rPr>
            <w:t>2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6CB86C16" w14:textId="77777777" w:rsidR="00E84E87" w:rsidRPr="00662F0B" w:rsidRDefault="00E84E87" w:rsidP="008F3B3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72526909" wp14:editId="5E9462BF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251D4953" w:rsidR="00B867C7" w:rsidRPr="0057457B" w:rsidRDefault="00B867C7" w:rsidP="005E6FCE">
    <w:pPr>
      <w:pStyle w:val="a5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B6F1" w14:textId="77777777" w:rsidR="00C7145B" w:rsidRDefault="00C7145B">
      <w:r>
        <w:separator/>
      </w:r>
    </w:p>
  </w:footnote>
  <w:footnote w:type="continuationSeparator" w:id="0">
    <w:p w14:paraId="075A4BA8" w14:textId="77777777" w:rsidR="00C7145B" w:rsidRDefault="00C7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162B7220" w:rsidR="00B867C7" w:rsidRPr="00DA4FB1" w:rsidRDefault="00ED162C" w:rsidP="004B6252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 8</w:t>
          </w:r>
          <w:r w:rsidR="00B867C7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: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Προϊστάμενος </w:t>
          </w:r>
          <w:r w:rsidR="004B6252" w:rsidRPr="004B6252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Γ 1, Γ 2</w:t>
          </w:r>
          <w:r w:rsidR="004B6252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- </w:t>
          </w:r>
          <w:r w:rsidR="00B867C7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Διαχείρισης </w:t>
          </w:r>
          <w:r w:rsidR="00C62637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 w:rsidR="00EE7E6E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Πράξεων</w:t>
          </w:r>
          <w:r w:rsidR="00B867C7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</w:t>
          </w:r>
          <w:r w:rsidR="009B66A3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</w:t>
          </w:r>
          <w:r w:rsidR="0048413C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</w:t>
          </w:r>
          <w:r w:rsidR="009B66A3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</w:t>
          </w:r>
          <w:r w:rsidR="00B867C7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 w:rsidR="00AA6137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2</w:t>
          </w:r>
          <w:r w:rsidR="00EE7E6E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γ</w:t>
          </w:r>
          <w:r w:rsidR="00B867C7"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5C71E2"/>
    <w:multiLevelType w:val="hybridMultilevel"/>
    <w:tmpl w:val="87122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9106175"/>
    <w:multiLevelType w:val="hybridMultilevel"/>
    <w:tmpl w:val="FDFAED0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1C49C4"/>
    <w:multiLevelType w:val="hybridMultilevel"/>
    <w:tmpl w:val="53D68EAC"/>
    <w:lvl w:ilvl="0" w:tplc="0268B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D846605"/>
    <w:multiLevelType w:val="hybridMultilevel"/>
    <w:tmpl w:val="BFA49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37FAF"/>
    <w:multiLevelType w:val="hybridMultilevel"/>
    <w:tmpl w:val="141A8E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8A213B"/>
    <w:multiLevelType w:val="hybridMultilevel"/>
    <w:tmpl w:val="19B80CB2"/>
    <w:lvl w:ilvl="0" w:tplc="BB2295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04FC6"/>
    <w:multiLevelType w:val="hybridMultilevel"/>
    <w:tmpl w:val="4FB65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F222F"/>
    <w:multiLevelType w:val="hybridMultilevel"/>
    <w:tmpl w:val="4EC8B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4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7"/>
  </w:num>
  <w:num w:numId="10">
    <w:abstractNumId w:val="19"/>
  </w:num>
  <w:num w:numId="11">
    <w:abstractNumId w:val="26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13"/>
  </w:num>
  <w:num w:numId="17">
    <w:abstractNumId w:val="22"/>
  </w:num>
  <w:num w:numId="18">
    <w:abstractNumId w:val="5"/>
  </w:num>
  <w:num w:numId="19">
    <w:abstractNumId w:val="4"/>
  </w:num>
  <w:num w:numId="20">
    <w:abstractNumId w:val="16"/>
  </w:num>
  <w:num w:numId="21">
    <w:abstractNumId w:val="25"/>
  </w:num>
  <w:num w:numId="22">
    <w:abstractNumId w:val="7"/>
  </w:num>
  <w:num w:numId="23">
    <w:abstractNumId w:val="24"/>
  </w:num>
  <w:num w:numId="24">
    <w:abstractNumId w:val="21"/>
  </w:num>
  <w:num w:numId="25">
    <w:abstractNumId w:val="2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22A2"/>
    <w:rsid w:val="000040B1"/>
    <w:rsid w:val="00017908"/>
    <w:rsid w:val="00024A71"/>
    <w:rsid w:val="000365DF"/>
    <w:rsid w:val="0004661A"/>
    <w:rsid w:val="0004764F"/>
    <w:rsid w:val="000477CA"/>
    <w:rsid w:val="00074B13"/>
    <w:rsid w:val="000906E5"/>
    <w:rsid w:val="000C1644"/>
    <w:rsid w:val="000C4C2B"/>
    <w:rsid w:val="000E0754"/>
    <w:rsid w:val="000F3B9B"/>
    <w:rsid w:val="00103547"/>
    <w:rsid w:val="00103646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7185"/>
    <w:rsid w:val="00163534"/>
    <w:rsid w:val="0016720D"/>
    <w:rsid w:val="0017027B"/>
    <w:rsid w:val="00176107"/>
    <w:rsid w:val="001834FF"/>
    <w:rsid w:val="001A3AC9"/>
    <w:rsid w:val="001D46B6"/>
    <w:rsid w:val="001F517A"/>
    <w:rsid w:val="00215518"/>
    <w:rsid w:val="00234212"/>
    <w:rsid w:val="002415E6"/>
    <w:rsid w:val="00245F76"/>
    <w:rsid w:val="00247D71"/>
    <w:rsid w:val="00254712"/>
    <w:rsid w:val="0025519C"/>
    <w:rsid w:val="00255FA9"/>
    <w:rsid w:val="00260B60"/>
    <w:rsid w:val="002615CD"/>
    <w:rsid w:val="00266CC5"/>
    <w:rsid w:val="00267407"/>
    <w:rsid w:val="00274FCA"/>
    <w:rsid w:val="00281DD5"/>
    <w:rsid w:val="00294838"/>
    <w:rsid w:val="00295DF2"/>
    <w:rsid w:val="002A53A8"/>
    <w:rsid w:val="002A60F5"/>
    <w:rsid w:val="002B2E38"/>
    <w:rsid w:val="002B7E02"/>
    <w:rsid w:val="002C1E2E"/>
    <w:rsid w:val="002C32B7"/>
    <w:rsid w:val="002C32EF"/>
    <w:rsid w:val="002D16C6"/>
    <w:rsid w:val="002D6616"/>
    <w:rsid w:val="002E1EA0"/>
    <w:rsid w:val="002E4053"/>
    <w:rsid w:val="002E4185"/>
    <w:rsid w:val="00301DE4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39EC"/>
    <w:rsid w:val="003E0144"/>
    <w:rsid w:val="003E0770"/>
    <w:rsid w:val="003E3F0D"/>
    <w:rsid w:val="003E5B44"/>
    <w:rsid w:val="003E676F"/>
    <w:rsid w:val="003E78EB"/>
    <w:rsid w:val="00406163"/>
    <w:rsid w:val="00407290"/>
    <w:rsid w:val="00411040"/>
    <w:rsid w:val="00412EF0"/>
    <w:rsid w:val="004154D6"/>
    <w:rsid w:val="00416DCA"/>
    <w:rsid w:val="00422633"/>
    <w:rsid w:val="004279F3"/>
    <w:rsid w:val="004350DB"/>
    <w:rsid w:val="00435CAA"/>
    <w:rsid w:val="00441A6A"/>
    <w:rsid w:val="00444611"/>
    <w:rsid w:val="004449CB"/>
    <w:rsid w:val="00467DB2"/>
    <w:rsid w:val="00470F80"/>
    <w:rsid w:val="0047606D"/>
    <w:rsid w:val="004761C2"/>
    <w:rsid w:val="00481906"/>
    <w:rsid w:val="0048413C"/>
    <w:rsid w:val="00490CD4"/>
    <w:rsid w:val="00491195"/>
    <w:rsid w:val="00492201"/>
    <w:rsid w:val="00494A11"/>
    <w:rsid w:val="004B6252"/>
    <w:rsid w:val="004C13C7"/>
    <w:rsid w:val="004C180F"/>
    <w:rsid w:val="004C59FC"/>
    <w:rsid w:val="004C789F"/>
    <w:rsid w:val="004D11B2"/>
    <w:rsid w:val="004F1F5C"/>
    <w:rsid w:val="004F23F0"/>
    <w:rsid w:val="004F4764"/>
    <w:rsid w:val="004F6F3B"/>
    <w:rsid w:val="00501F94"/>
    <w:rsid w:val="00512B01"/>
    <w:rsid w:val="005207AB"/>
    <w:rsid w:val="00530763"/>
    <w:rsid w:val="00530AC2"/>
    <w:rsid w:val="00536205"/>
    <w:rsid w:val="00546247"/>
    <w:rsid w:val="00546CAB"/>
    <w:rsid w:val="005600E6"/>
    <w:rsid w:val="0056644D"/>
    <w:rsid w:val="00566D09"/>
    <w:rsid w:val="0057457B"/>
    <w:rsid w:val="00575BA2"/>
    <w:rsid w:val="005939B8"/>
    <w:rsid w:val="005B5103"/>
    <w:rsid w:val="005B54F6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33E3B"/>
    <w:rsid w:val="00637EB7"/>
    <w:rsid w:val="00644011"/>
    <w:rsid w:val="006502E2"/>
    <w:rsid w:val="0066289F"/>
    <w:rsid w:val="00676765"/>
    <w:rsid w:val="006831FA"/>
    <w:rsid w:val="006833C5"/>
    <w:rsid w:val="006955F5"/>
    <w:rsid w:val="006A10C4"/>
    <w:rsid w:val="006A26D1"/>
    <w:rsid w:val="006A394D"/>
    <w:rsid w:val="006A6CB1"/>
    <w:rsid w:val="006B3276"/>
    <w:rsid w:val="006C0F6E"/>
    <w:rsid w:val="006C12BF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32215"/>
    <w:rsid w:val="00740A2A"/>
    <w:rsid w:val="00741B83"/>
    <w:rsid w:val="007628F0"/>
    <w:rsid w:val="00763ED3"/>
    <w:rsid w:val="007774BF"/>
    <w:rsid w:val="007847E8"/>
    <w:rsid w:val="00786308"/>
    <w:rsid w:val="007A0E15"/>
    <w:rsid w:val="007B0B04"/>
    <w:rsid w:val="007B2C55"/>
    <w:rsid w:val="007B4971"/>
    <w:rsid w:val="007C1C6A"/>
    <w:rsid w:val="007C1DB2"/>
    <w:rsid w:val="007C3E47"/>
    <w:rsid w:val="007E7E7E"/>
    <w:rsid w:val="008064DF"/>
    <w:rsid w:val="008213CF"/>
    <w:rsid w:val="008246D7"/>
    <w:rsid w:val="00825674"/>
    <w:rsid w:val="00825C3D"/>
    <w:rsid w:val="00834166"/>
    <w:rsid w:val="00850351"/>
    <w:rsid w:val="00852717"/>
    <w:rsid w:val="00882910"/>
    <w:rsid w:val="008861D7"/>
    <w:rsid w:val="00897738"/>
    <w:rsid w:val="008A0708"/>
    <w:rsid w:val="008A3BBF"/>
    <w:rsid w:val="008B4D99"/>
    <w:rsid w:val="008B6C1C"/>
    <w:rsid w:val="008D15DD"/>
    <w:rsid w:val="008D3A69"/>
    <w:rsid w:val="00904081"/>
    <w:rsid w:val="00922409"/>
    <w:rsid w:val="00922D40"/>
    <w:rsid w:val="0092743D"/>
    <w:rsid w:val="0093059D"/>
    <w:rsid w:val="009550B1"/>
    <w:rsid w:val="009562E0"/>
    <w:rsid w:val="009564D3"/>
    <w:rsid w:val="00964968"/>
    <w:rsid w:val="009A7E78"/>
    <w:rsid w:val="009B66A3"/>
    <w:rsid w:val="009B6B06"/>
    <w:rsid w:val="009B6BFF"/>
    <w:rsid w:val="009C3173"/>
    <w:rsid w:val="009C3262"/>
    <w:rsid w:val="009D25FC"/>
    <w:rsid w:val="009E0049"/>
    <w:rsid w:val="009E0D53"/>
    <w:rsid w:val="009E309E"/>
    <w:rsid w:val="009F1C53"/>
    <w:rsid w:val="00A047E2"/>
    <w:rsid w:val="00A11E1A"/>
    <w:rsid w:val="00A16781"/>
    <w:rsid w:val="00A35E09"/>
    <w:rsid w:val="00A37E1D"/>
    <w:rsid w:val="00A40080"/>
    <w:rsid w:val="00A45A76"/>
    <w:rsid w:val="00A46230"/>
    <w:rsid w:val="00A61EC7"/>
    <w:rsid w:val="00A6791B"/>
    <w:rsid w:val="00A81A6A"/>
    <w:rsid w:val="00A9493D"/>
    <w:rsid w:val="00AA5E1F"/>
    <w:rsid w:val="00AA6137"/>
    <w:rsid w:val="00AB040A"/>
    <w:rsid w:val="00AB2F3D"/>
    <w:rsid w:val="00AB488F"/>
    <w:rsid w:val="00AB55D8"/>
    <w:rsid w:val="00B01556"/>
    <w:rsid w:val="00B05C4E"/>
    <w:rsid w:val="00B23E30"/>
    <w:rsid w:val="00B63BB5"/>
    <w:rsid w:val="00B64900"/>
    <w:rsid w:val="00B71454"/>
    <w:rsid w:val="00B722CD"/>
    <w:rsid w:val="00B867C7"/>
    <w:rsid w:val="00B91B3F"/>
    <w:rsid w:val="00B9724A"/>
    <w:rsid w:val="00BA0622"/>
    <w:rsid w:val="00BA1562"/>
    <w:rsid w:val="00BA2F92"/>
    <w:rsid w:val="00BB2AC8"/>
    <w:rsid w:val="00BB2B85"/>
    <w:rsid w:val="00BC36A1"/>
    <w:rsid w:val="00BE650B"/>
    <w:rsid w:val="00BF189A"/>
    <w:rsid w:val="00BF2673"/>
    <w:rsid w:val="00C060CE"/>
    <w:rsid w:val="00C07FB4"/>
    <w:rsid w:val="00C10F3F"/>
    <w:rsid w:val="00C11C90"/>
    <w:rsid w:val="00C1416A"/>
    <w:rsid w:val="00C212D5"/>
    <w:rsid w:val="00C341CB"/>
    <w:rsid w:val="00C37DC8"/>
    <w:rsid w:val="00C42B4A"/>
    <w:rsid w:val="00C462D6"/>
    <w:rsid w:val="00C62637"/>
    <w:rsid w:val="00C7145B"/>
    <w:rsid w:val="00C77F68"/>
    <w:rsid w:val="00C80D82"/>
    <w:rsid w:val="00C844B7"/>
    <w:rsid w:val="00C8511D"/>
    <w:rsid w:val="00CA3F5A"/>
    <w:rsid w:val="00CA6EC9"/>
    <w:rsid w:val="00CC2D13"/>
    <w:rsid w:val="00CC5EB9"/>
    <w:rsid w:val="00CD1E05"/>
    <w:rsid w:val="00CD2843"/>
    <w:rsid w:val="00CD4DB6"/>
    <w:rsid w:val="00CD7328"/>
    <w:rsid w:val="00CF20EB"/>
    <w:rsid w:val="00CF2349"/>
    <w:rsid w:val="00CF2A4E"/>
    <w:rsid w:val="00D000E8"/>
    <w:rsid w:val="00D07B28"/>
    <w:rsid w:val="00D14561"/>
    <w:rsid w:val="00D3121C"/>
    <w:rsid w:val="00D41A57"/>
    <w:rsid w:val="00D46D74"/>
    <w:rsid w:val="00D63145"/>
    <w:rsid w:val="00D819C0"/>
    <w:rsid w:val="00D833EC"/>
    <w:rsid w:val="00D860AF"/>
    <w:rsid w:val="00D937A5"/>
    <w:rsid w:val="00DA4FB1"/>
    <w:rsid w:val="00DC2B04"/>
    <w:rsid w:val="00DC5801"/>
    <w:rsid w:val="00DC6F11"/>
    <w:rsid w:val="00DD0FB4"/>
    <w:rsid w:val="00DD2F71"/>
    <w:rsid w:val="00DD71BF"/>
    <w:rsid w:val="00DF37D2"/>
    <w:rsid w:val="00E07C73"/>
    <w:rsid w:val="00E20E19"/>
    <w:rsid w:val="00E24A15"/>
    <w:rsid w:val="00E338D0"/>
    <w:rsid w:val="00E3573B"/>
    <w:rsid w:val="00E406E4"/>
    <w:rsid w:val="00E43F71"/>
    <w:rsid w:val="00E46BF8"/>
    <w:rsid w:val="00E47ADD"/>
    <w:rsid w:val="00E7003D"/>
    <w:rsid w:val="00E71BED"/>
    <w:rsid w:val="00E726E3"/>
    <w:rsid w:val="00E84E87"/>
    <w:rsid w:val="00E94195"/>
    <w:rsid w:val="00E95976"/>
    <w:rsid w:val="00EA1325"/>
    <w:rsid w:val="00EA42D5"/>
    <w:rsid w:val="00EB3AC1"/>
    <w:rsid w:val="00ED162C"/>
    <w:rsid w:val="00EE2BA9"/>
    <w:rsid w:val="00EE7E6E"/>
    <w:rsid w:val="00EF15AF"/>
    <w:rsid w:val="00EF261E"/>
    <w:rsid w:val="00F03242"/>
    <w:rsid w:val="00F03CE7"/>
    <w:rsid w:val="00F11041"/>
    <w:rsid w:val="00F1328D"/>
    <w:rsid w:val="00F23FA9"/>
    <w:rsid w:val="00F40948"/>
    <w:rsid w:val="00F609C1"/>
    <w:rsid w:val="00F6124D"/>
    <w:rsid w:val="00F6314E"/>
    <w:rsid w:val="00F64AC4"/>
    <w:rsid w:val="00F72DF3"/>
    <w:rsid w:val="00F83C07"/>
    <w:rsid w:val="00F9164A"/>
    <w:rsid w:val="00F91F46"/>
    <w:rsid w:val="00F938AE"/>
    <w:rsid w:val="00FA5205"/>
    <w:rsid w:val="00FA7BF4"/>
    <w:rsid w:val="00FB0DE6"/>
    <w:rsid w:val="00FC52C0"/>
    <w:rsid w:val="00FC59F5"/>
    <w:rsid w:val="00FD0319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uiPriority w:val="99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3E0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uiPriority w:val="99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3E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870D8-DF6B-4F34-87B4-C259D1F4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61684D-8262-4BB5-A88C-11ABE865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1116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5</cp:revision>
  <cp:lastPrinted>2015-07-01T14:28:00Z</cp:lastPrinted>
  <dcterms:created xsi:type="dcterms:W3CDTF">2016-10-27T09:08:00Z</dcterms:created>
  <dcterms:modified xsi:type="dcterms:W3CDTF">2017-03-09T09:03:00Z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