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77777777" w:rsidR="007B4971" w:rsidRPr="003B31A2" w:rsidRDefault="007B4971" w:rsidP="00150A57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Pr="00150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Επιλογή1"/>
            <w:r w:rsidRPr="00150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4F1A87">
              <w:rPr>
                <w:rFonts w:ascii="Tahoma" w:hAnsi="Tahoma" w:cs="Tahoma"/>
                <w:sz w:val="16"/>
                <w:szCs w:val="16"/>
              </w:rPr>
            </w:r>
            <w:r w:rsidR="004F1A8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7C9DD40E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71D9C412" w:rsidR="003748B1" w:rsidRPr="00C8511D" w:rsidRDefault="003748B1" w:rsidP="00C80D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851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Στέλεχος </w:t>
            </w:r>
            <w:r w:rsidR="00C6263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Παρακολούθησης </w:t>
            </w:r>
            <w:r w:rsidRPr="00C851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Προγράμματος 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7777777" w:rsidR="003748B1" w:rsidRPr="000E0754" w:rsidRDefault="003748B1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77777777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Δεν υπάρχουν 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77777777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1726D6B0" w14:textId="77777777" w:rsidR="00C62637" w:rsidRDefault="00C62637" w:rsidP="00C6263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Ο υπεύθυνος για την παρακολούθηση του ΕΠ και τη σύνταξη των απαιτούμενων αναφορών, εισηγούμενος για τα παραπάνω θέματα στον Προϊστάμενο της Μονάδας</w:t>
            </w:r>
          </w:p>
          <w:p w14:paraId="7C9DD420" w14:textId="6BCFFD4C" w:rsidR="003748B1" w:rsidRPr="000E0754" w:rsidRDefault="003748B1" w:rsidP="007774B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C9DD422" w14:textId="77777777" w:rsidR="003748B1" w:rsidRDefault="003748B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61"/>
      </w:tblGrid>
      <w:tr w:rsidR="003748B1" w:rsidRPr="009550B1" w14:paraId="7C9DD424" w14:textId="77777777" w:rsidTr="00A11E1A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41246B">
        <w:trPr>
          <w:trHeight w:val="5231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9713FA6" w14:textId="376C7E13" w:rsidR="00C62637" w:rsidRPr="004350DB" w:rsidRDefault="00C62637" w:rsidP="00C6263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Παρακολούθηση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εφαρμογής </w:t>
            </w: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ΕΠ</w:t>
            </w:r>
          </w:p>
          <w:p w14:paraId="28A39042" w14:textId="77777777" w:rsidR="00C62637" w:rsidRDefault="00C62637" w:rsidP="00C62637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Παρακολούθηση της πορείας </w:t>
            </w:r>
            <w:r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εφαρμογής του Επιχειρησιακού Προγράμματος και ειδικότερα τη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χρηματοοικονομική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οόδου </w:t>
            </w:r>
            <w:r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του, 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ποσοτικοποιημέν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ικτών </w:t>
            </w:r>
            <w:r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ορόσημ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και των στόχων του πλαισίου επίδοσης και των </w:t>
            </w:r>
            <w:r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προοπτικ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ών </w:t>
            </w:r>
            <w:r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εξέλιξής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τους.</w:t>
            </w:r>
          </w:p>
          <w:p w14:paraId="25E1FC5C" w14:textId="77777777" w:rsidR="00C62637" w:rsidRPr="00600FB2" w:rsidRDefault="00C62637" w:rsidP="00C62637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την εφαρμογή των ρυθμίσεων </w:t>
            </w:r>
            <w:r w:rsidRPr="000F088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ενιαίου συστήματος παρακολούθησης δεικτών, όπως ισχύει κάθε φορά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Συνεργασία με την ΕΑΣ. </w:t>
            </w:r>
          </w:p>
          <w:p w14:paraId="699B1ABA" w14:textId="77777777" w:rsidR="00C62637" w:rsidRDefault="00C62637" w:rsidP="00C62637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</w:t>
            </w:r>
            <w:r w:rsidRPr="005958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τη λήψη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κατάλληλων μέτρων </w:t>
            </w:r>
            <w:r w:rsidRPr="005958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την απορρόφηση των ετήσιων δεσμεύσεων του προγράμματος, βάσει των οποίων εφαρμόζεται η διαδικασία της αποδέσμευσης. </w:t>
            </w:r>
          </w:p>
          <w:p w14:paraId="7E5D5272" w14:textId="77777777" w:rsidR="00C62637" w:rsidRDefault="00C62637" w:rsidP="00C62637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958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Σύνταξη αιτημάτων εξαίρεσης από την εφαρμογή της διαδικασίας αποδέσμευσης για τις δεσμεύσεις που δεν απορροφήθηκαν εξαιτίας δικαστικών ή διοικητικών εμπλοκών ή και για λόγους ανωτέρας βίας, σε συ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νεργασία με την αρμόδια Μονάδα Γ</w:t>
            </w:r>
            <w:r w:rsidRPr="005958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σύμφωνα με τις κατευθύνσεις της ΕΑΣ.</w:t>
            </w:r>
          </w:p>
          <w:p w14:paraId="5D30C970" w14:textId="77777777" w:rsidR="00C62637" w:rsidRDefault="00C62637" w:rsidP="00C62637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την έγκαιρη σ</w:t>
            </w:r>
            <w:r w:rsidRPr="00600FB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υλλογή στοιχείων που συνδέονται με τους δείκτες του Ε.Π και του πλαισίου επίδοσης, καθώς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</w:t>
            </w:r>
            <w:r w:rsidRPr="00600FB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 διασφάλιση της πληρότητας και ποιότητάς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τους. </w:t>
            </w:r>
          </w:p>
          <w:p w14:paraId="431F6E37" w14:textId="77777777" w:rsidR="00C62637" w:rsidRPr="004350DB" w:rsidRDefault="00C62637" w:rsidP="0041246B">
            <w:pPr>
              <w:spacing w:before="24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Υποστήριξη του έργου της Επιτροπής Παρακολούθησης (</w:t>
            </w:r>
            <w:proofErr w:type="spellStart"/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Επ.Πα</w:t>
            </w:r>
            <w:proofErr w:type="spellEnd"/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.) του ΕΠ</w:t>
            </w:r>
          </w:p>
          <w:p w14:paraId="27D41CA8" w14:textId="039E1BD2" w:rsidR="00C62637" w:rsidRDefault="00C62637" w:rsidP="00C62637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Υποστήριξη του έργου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Επ.Πα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 με την παροχή των απαραίτητων στοιχείων (δεδομένα προόδου του ΕΠ ως προς την επίτευξη των στόχων, δημοσιονομικά δεδομένα, ορόσημα, στόχοι του πλαισίου επίδοσης).</w:t>
            </w:r>
            <w:r w:rsidR="00BE14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Η υποστήριξη αυτή </w:t>
            </w:r>
            <w:r w:rsidR="00BE1446" w:rsidRPr="00BE144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πραγματοποιείται και με τη χρήση της επιχειρησιακής πλατφόρμας ΔΙΑΥΛΟΣ.</w:t>
            </w:r>
          </w:p>
          <w:p w14:paraId="0F5C295C" w14:textId="77777777" w:rsidR="00C62637" w:rsidRDefault="00C62637" w:rsidP="00C62637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ανάληψη μέτρων / ενεργειών εφαρμογής των αποφάσεων  της Επιτροπής Παρακολούθησης σε σχέση με την πορεία υλοποίησης του ΕΠ. </w:t>
            </w:r>
          </w:p>
          <w:p w14:paraId="16BDEF3F" w14:textId="2E42137E" w:rsidR="00C62637" w:rsidRPr="004350DB" w:rsidRDefault="00C62637" w:rsidP="0041246B">
            <w:pPr>
              <w:spacing w:before="24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Παρακολούθηση Ενδιάμεσων Φορέων (ΕΦ)</w:t>
            </w:r>
          </w:p>
          <w:p w14:paraId="24E2D07D" w14:textId="77777777" w:rsidR="00C62637" w:rsidRDefault="00C62637" w:rsidP="00C62637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Παρακολούθηση και ε</w:t>
            </w:r>
            <w:r w:rsidRPr="005133D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ποπτεία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</w:t>
            </w:r>
            <w:r w:rsidRPr="005133D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άσκηση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5133D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των καθηκόντων ή αρμοδιοτήτων διαχείρισης των ενδιάμεσων φορέων, σύμφωνα με τις απαιτήσεις του συστήματος διαχείρισης και ελέγχου και τα οριζόμενα στις αποφάσεις εκχώρησης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και εισήγηση λήψης των κατάλληλων διορθωτικών μέτρων.</w:t>
            </w:r>
          </w:p>
          <w:p w14:paraId="646C5FF9" w14:textId="0322BE08" w:rsidR="00CA6EC9" w:rsidRPr="004350DB" w:rsidRDefault="004350DB" w:rsidP="0041246B">
            <w:pPr>
              <w:spacing w:before="24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4350DB">
              <w:rPr>
                <w:rFonts w:ascii="Tahoma" w:hAnsi="Tahoma" w:cs="Tahoma"/>
                <w:b/>
                <w:sz w:val="18"/>
                <w:szCs w:val="18"/>
              </w:rPr>
              <w:t>Εκθέσεις – Αναφορές</w:t>
            </w:r>
          </w:p>
          <w:p w14:paraId="43057C22" w14:textId="77777777" w:rsidR="00C1416A" w:rsidRDefault="00C1416A" w:rsidP="00C1416A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Σύνταξη</w:t>
            </w:r>
            <w:r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 ετήσιων</w:t>
            </w:r>
            <w:r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τελικών</w:t>
            </w:r>
            <w:r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εκθέσεων</w:t>
            </w:r>
            <w:r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υλοποίησης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Επιχειρησιακού Προγράμματος</w:t>
            </w:r>
            <w:r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μ</w:t>
            </w:r>
            <w:r w:rsidRPr="00DC6F1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έριμνα για τη διαβίβαση προς έγκριση στην Επιτροπή Παρακολούθησης του ΕΠ. </w:t>
            </w:r>
          </w:p>
          <w:p w14:paraId="4D0710D9" w14:textId="77777777" w:rsidR="004350DB" w:rsidRDefault="00C1416A" w:rsidP="004350DB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την υποβολή</w:t>
            </w:r>
            <w:r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εγκεκριμένων ετήσιων και των τελικών εκθέσεων υλοποίησης του Προγράμματος </w:t>
            </w:r>
            <w:r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στην Ευρωπαϊκή Επιτροπή.</w:t>
            </w:r>
            <w:r w:rsidR="004350D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14:paraId="4ADC1017" w14:textId="231E24B5" w:rsidR="004350DB" w:rsidRPr="00DC6F11" w:rsidRDefault="004350DB" w:rsidP="004350DB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Σύνταξη των αναγκαίων αναφορών</w:t>
            </w:r>
            <w:r w:rsidRPr="00C3031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την προετοιμασία της ετήσιας εξέτασης του ΕΠ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ε</w:t>
            </w:r>
            <w:r w:rsidRPr="00DC6F1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νημέρωση της Επιτροπής Παρακολούθησης για τα αποτελέσματά της. </w:t>
            </w:r>
          </w:p>
          <w:p w14:paraId="776214D9" w14:textId="77777777" w:rsidR="004350DB" w:rsidRDefault="004350DB" w:rsidP="004350DB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Παρακολούθηση της εξέλιξης ενδεχόμενων παρατηρήσεων και σχολίων της ΕΕ σχετικά με την ετήσια εξέταση του ΕΠ.</w:t>
            </w:r>
          </w:p>
          <w:p w14:paraId="6EAC3EBD" w14:textId="76E2459A" w:rsidR="004350DB" w:rsidRPr="004350DB" w:rsidRDefault="004350DB" w:rsidP="0041246B">
            <w:pPr>
              <w:spacing w:before="240" w:after="120"/>
              <w:ind w:left="3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Άλλα καθήκοντα</w:t>
            </w:r>
          </w:p>
          <w:p w14:paraId="46E3D01F" w14:textId="5C6F85C8" w:rsidR="00922409" w:rsidRDefault="00922409" w:rsidP="00922409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Προετοιμασία και έκδοση όλων των απαραίτητων εγγράφων και αποφάσεων που προβλέπονται από το ΣΔΕ.</w:t>
            </w:r>
          </w:p>
          <w:p w14:paraId="01F3C6BB" w14:textId="5693A0A4" w:rsidR="003E78EB" w:rsidRPr="00B91B3F" w:rsidRDefault="003E78EB" w:rsidP="003E78EB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B91B3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την κατάρτιση της δήλωσης διαχείρισης και της ετήσιας σύνοψης του άρθρου 59, παρ. 5 α και β του δημοσιονομικού κανονισμού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βάσει των στοιχείων των Μονάδων Γ</w:t>
            </w:r>
            <w:r w:rsidRPr="00B91B3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την Αρχή Πιστοποίησης και την Αρχή Ελέγχου</w:t>
            </w:r>
            <w:r>
              <w:rPr>
                <w:rStyle w:val="ad"/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59D24173" w14:textId="77777777" w:rsidR="003E78EB" w:rsidRPr="00D937A5" w:rsidRDefault="003E78EB" w:rsidP="003E78EB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εκπόνησης μελετών, ερευνών, εμπειρογνωμοσυνών, εγχειριδίων διαδικασιών σχετικών με το αντικείμεν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 της θέσης εργασίας και της Μονάδας Α. </w:t>
            </w:r>
          </w:p>
          <w:p w14:paraId="7FB49528" w14:textId="37F28624" w:rsidR="003E78EB" w:rsidRDefault="003E78EB" w:rsidP="00922409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78E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Διασφάλιση της συλλογής και έγκαιρης καταχώρηση στο ΟΠΣ των απαραίτητων δεδομένων που αφορούν στις </w:t>
            </w:r>
            <w:r w:rsidR="00031E7C" w:rsidRPr="003E78E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αρμοδιότητ</w:t>
            </w:r>
            <w:r w:rsidR="00031E7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="00031E7C" w:rsidRPr="003E78E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ς </w:t>
            </w:r>
            <w:r w:rsidRPr="003E78E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θέσης εργασίας. Ευθύνη για την ακρίβεια, την ποιότητα και πληρότητα των στοιχείων αρμοδιότητάς του που καταχωρεί στο ΟΠΣ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577118BC" w14:textId="77777777" w:rsidR="003E78EB" w:rsidRPr="005F6CF9" w:rsidRDefault="003E78EB" w:rsidP="003E78EB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F6CF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τήρηση αρχείων των θεμάτων αρμοδιότητ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ας της Μονάδας Α που αφορούν τη θέση εργασίας. </w:t>
            </w:r>
          </w:p>
          <w:p w14:paraId="79BCD69E" w14:textId="64AE71F7" w:rsidR="003E78EB" w:rsidRPr="003E78EB" w:rsidRDefault="003E78EB" w:rsidP="00922409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E78E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σε Θεματικά Δίκτυα, 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επιτροπές και Ομάδες Εργασίας κ.λπ. που συγκροτούνται, κατά περίπτωση, στο πλαίσιο λειτουργίας της ΕΥ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του ΕΣΠΑ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14:paraId="036F2F72" w14:textId="77777777" w:rsidR="003E78EB" w:rsidRDefault="003E78EB" w:rsidP="003E78EB">
            <w:pPr>
              <w:numPr>
                <w:ilvl w:val="0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074B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Συνεργασία με ΕΑΣ και ΕΕ και παροχή όλων των αναγκαίων πληροφοριών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σε θέματα αρμοδιότητας της Μονάδας Α και της θέσης εργασίας.</w:t>
            </w:r>
          </w:p>
          <w:p w14:paraId="7C9DD444" w14:textId="185BE773" w:rsidR="003748B1" w:rsidRPr="008B6C1C" w:rsidRDefault="004350DB" w:rsidP="0041246B">
            <w:pPr>
              <w:numPr>
                <w:ilvl w:val="3"/>
                <w:numId w:val="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14:paraId="7C9DD446" w14:textId="77777777" w:rsidR="003748B1" w:rsidRDefault="003748B1" w:rsidP="00763ED3"/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48" w14:textId="77777777" w:rsidTr="006F427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7C9DD447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2. ΣΧΕΣΕΙΣ ΣΥΝΕΡΓΑΣΙΑΣ</w:t>
            </w:r>
          </w:p>
        </w:tc>
      </w:tr>
      <w:tr w:rsidR="003748B1" w:rsidRPr="00371252" w14:paraId="7C9DD454" w14:textId="77777777" w:rsidTr="0057457B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9DD449" w14:textId="77777777" w:rsidR="003748B1" w:rsidRPr="00E406E4" w:rsidRDefault="00A81A6A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Υπηρεσίες </w:t>
            </w:r>
            <w:r w:rsidR="003748B1"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Εθνική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3748B1"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Αρχή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3748B1"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Συντονισμού</w:t>
            </w:r>
          </w:p>
          <w:p w14:paraId="7C9DD44A" w14:textId="4763BC99" w:rsidR="003748B1" w:rsidRPr="00E406E4" w:rsidRDefault="002C32B7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Επιτελικές Δομές Υπουργείου Αγροτικής Ανάπτυξης</w:t>
            </w:r>
          </w:p>
          <w:p w14:paraId="7C9DD44B" w14:textId="77777777" w:rsidR="003748B1" w:rsidRPr="00E406E4" w:rsidRDefault="003748B1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ΕΥΣΠΕΔ</w:t>
            </w:r>
          </w:p>
          <w:p w14:paraId="7C9DD44C" w14:textId="77777777" w:rsidR="00B23E30" w:rsidRDefault="00B23E30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Ομάδα </w:t>
            </w:r>
            <w:r w:rsidRPr="00B23E3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αξιολόγησης κινδύνων απάτης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14:paraId="7C9DD44D" w14:textId="77777777" w:rsidR="00B23E30" w:rsidRDefault="00B23E30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Ομάδα διαχείρισης κινδύνων </w:t>
            </w:r>
          </w:p>
          <w:p w14:paraId="7C9DD44E" w14:textId="77777777" w:rsidR="003748B1" w:rsidRDefault="003748B1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Αρχή Πιστοποίησης, Φορείς Χρηματοδότησης</w:t>
            </w:r>
          </w:p>
          <w:p w14:paraId="7C9DD44F" w14:textId="77777777" w:rsidR="00637EB7" w:rsidRPr="00637EB7" w:rsidRDefault="006502E2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37EB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ΕΔΕΛ</w:t>
            </w:r>
          </w:p>
          <w:p w14:paraId="7C9DD450" w14:textId="0F023442" w:rsidR="003748B1" w:rsidRDefault="003748B1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37EB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Ευρωπαϊκή Επιτροπ</w:t>
            </w:r>
            <w:r w:rsidR="006831F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ή</w:t>
            </w:r>
          </w:p>
          <w:p w14:paraId="7C9DD451" w14:textId="77777777" w:rsidR="003748B1" w:rsidRPr="00E406E4" w:rsidRDefault="003748B1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ΕΦΔ</w:t>
            </w:r>
            <w:r w:rsid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ΕΠ</w:t>
            </w:r>
          </w:p>
          <w:p w14:paraId="7C9DD452" w14:textId="77777777" w:rsidR="003748B1" w:rsidRPr="00E406E4" w:rsidRDefault="003748B1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 ΕΥ</w:t>
            </w:r>
            <w:r w:rsidR="00A81A6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</w:p>
          <w:p w14:paraId="7C9DD453" w14:textId="77777777" w:rsidR="003748B1" w:rsidRPr="00074B13" w:rsidRDefault="00A81A6A" w:rsidP="00074B1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Ελεγκτικά όργανα / φορείς </w:t>
            </w:r>
          </w:p>
        </w:tc>
      </w:tr>
    </w:tbl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0F7065D8" w:rsidR="00281DD5" w:rsidRPr="00460CF2" w:rsidRDefault="00281DD5" w:rsidP="0088168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</w:t>
            </w:r>
            <w:r w:rsidR="00460CF2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ΟΣΟΝΤΑ ΚΑΛΥΨΗΣ ΘΕΣΗΣ ΕΡΓΑΣΙΑΣ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31322FD3" w:rsidR="00281DD5" w:rsidRPr="00295DF2" w:rsidRDefault="00460CF2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</w:t>
            </w:r>
            <w:r w:rsidR="00281DD5"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B5AACF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1F66B26D" w14:textId="6D616EF1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Πτυχίο ή δίπλωμα Α.Ε.Ι </w:t>
            </w:r>
            <w:r w:rsidRPr="00E46BF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ΠΕ</w:t>
            </w:r>
            <w:r w:rsidR="00460CF2" w:rsidRPr="00460CF2">
              <w:rPr>
                <w:rFonts w:ascii="Tahoma" w:hAnsi="Tahoma" w:cs="Tahoma"/>
                <w:sz w:val="18"/>
                <w:szCs w:val="18"/>
              </w:rPr>
              <w:t>/</w:t>
            </w:r>
            <w:r w:rsidR="00460CF2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της ημεδαπής ή ισότιμου ιδρύματος της αλλοδαπής</w:t>
            </w:r>
          </w:p>
          <w:p w14:paraId="41D7B04D" w14:textId="77777777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14:paraId="0A93565D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  <w:p w14:paraId="5164DFD6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ετής για τους κατόχους μεταπτυχιακού τίτλου της ημεδαπής ή αναγνωρισμένου όμοιου τίτλου της αλλοδαπής ετήσιας τουλάχιστον φοίτησης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για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τους απόφοιτους της Εθνικής Σχολής Δημόσιας Διοίκησης</w:t>
            </w:r>
          </w:p>
          <w:p w14:paraId="25EBFB79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αλλοδαπής</w:t>
            </w:r>
          </w:p>
          <w:p w14:paraId="691B058E" w14:textId="77777777" w:rsidR="00281DD5" w:rsidRPr="00791879" w:rsidRDefault="00281DD5" w:rsidP="0088168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4CB1060E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3E422F63" w14:textId="77777777" w:rsidR="00281DD5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</w:t>
            </w:r>
            <w:r>
              <w:rPr>
                <w:rFonts w:ascii="Tahoma" w:hAnsi="Tahoma" w:cs="Tahoma"/>
                <w:sz w:val="18"/>
                <w:szCs w:val="18"/>
              </w:rPr>
              <w:t>στα θεματικά αντικείμενα του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τομέα ευθύνης της Ε.Υ.</w:t>
            </w:r>
          </w:p>
          <w:p w14:paraId="0C20BCD0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14:paraId="5EF834DA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73107F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5AF2E967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14:paraId="33F0ED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791879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  <w:p w14:paraId="3CCEAD33" w14:textId="77777777" w:rsidR="00281DD5" w:rsidRPr="00791879" w:rsidRDefault="00281DD5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54E4E412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</w:t>
            </w:r>
            <w:r w:rsidR="00460C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ΠΡΟΣΘΕΤΑ/ ΕΠΙΘΥΜΗΤΑ ΠΡΟΣΟΝΤΑ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371252" w14:paraId="247DFBBF" w14:textId="77777777" w:rsidTr="0041246B">
        <w:trPr>
          <w:trHeight w:val="708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3071DD3B" w14:textId="77777777" w:rsidR="00281DD5" w:rsidRPr="00791879" w:rsidRDefault="00281DD5" w:rsidP="000365DF">
            <w:pPr>
              <w:numPr>
                <w:ilvl w:val="0"/>
                <w:numId w:val="14"/>
              </w:numPr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της Ε.Υ. </w:t>
            </w:r>
            <w:r w:rsidRPr="00791879">
              <w:rPr>
                <w:rFonts w:ascii="Tahoma" w:hAnsi="Tahoma" w:cs="Tahoma"/>
                <w:sz w:val="18"/>
                <w:szCs w:val="18"/>
              </w:rPr>
              <w:t>πεδίο</w:t>
            </w:r>
          </w:p>
          <w:p w14:paraId="1B40EAD7" w14:textId="77777777" w:rsidR="00281DD5" w:rsidRPr="00791879" w:rsidRDefault="00281DD5" w:rsidP="00881687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14:paraId="7C9DD456" w14:textId="77777777" w:rsidR="006502E2" w:rsidRDefault="006502E2" w:rsidP="00763ED3"/>
    <w:sectPr w:rsidR="006502E2" w:rsidSect="00C6773A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DC4A3" w14:textId="77777777" w:rsidR="00A814FF" w:rsidRDefault="00A814FF">
      <w:r>
        <w:separator/>
      </w:r>
    </w:p>
  </w:endnote>
  <w:endnote w:type="continuationSeparator" w:id="0">
    <w:p w14:paraId="03F07459" w14:textId="77777777" w:rsidR="00A814FF" w:rsidRDefault="00A8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C6773A" w:rsidRPr="00662F0B" w14:paraId="6F3412C8" w14:textId="77777777" w:rsidTr="008F3B31">
      <w:trPr>
        <w:jc w:val="center"/>
      </w:trPr>
      <w:tc>
        <w:tcPr>
          <w:tcW w:w="3383" w:type="dxa"/>
          <w:shd w:val="clear" w:color="auto" w:fill="auto"/>
        </w:tcPr>
        <w:p w14:paraId="703B6B86" w14:textId="77777777" w:rsidR="00C6773A" w:rsidRPr="00662F0B" w:rsidRDefault="00C6773A" w:rsidP="008F3B3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3298E5CC" w14:textId="1C503242" w:rsidR="00C6773A" w:rsidRPr="00233335" w:rsidRDefault="00C6773A" w:rsidP="008F3B3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4F1A87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2EB48F2A" w14:textId="77777777" w:rsidR="00C6773A" w:rsidRPr="00662F0B" w:rsidRDefault="00C6773A" w:rsidP="008F3B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4F1A87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5FE4FFBE" w14:textId="77777777" w:rsidR="00C6773A" w:rsidRPr="00662F0B" w:rsidRDefault="00C6773A" w:rsidP="008F3B3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3BC17F0A" wp14:editId="09336A31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7B1503B0" w:rsidR="00B867C7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AA58E" w14:textId="77777777" w:rsidR="00A814FF" w:rsidRDefault="00A814FF">
      <w:r>
        <w:separator/>
      </w:r>
    </w:p>
  </w:footnote>
  <w:footnote w:type="continuationSeparator" w:id="0">
    <w:p w14:paraId="76948299" w14:textId="77777777" w:rsidR="00A814FF" w:rsidRDefault="00A8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44EE3ECC" w:rsidR="00B867C7" w:rsidRPr="00DA4FB1" w:rsidRDefault="00B867C7" w:rsidP="001C0BC3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</w:t>
          </w:r>
          <w:r w:rsidR="00CD7853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.</w:t>
          </w:r>
          <w:r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Ε </w:t>
          </w:r>
          <w:r w:rsidR="001C0BC3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5</w:t>
          </w:r>
          <w:r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Στέλεχος </w:t>
          </w:r>
          <w:r w:rsidR="00C62637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Παρακολούθησης </w:t>
          </w:r>
          <w:r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Προγράμματος    </w:t>
          </w:r>
          <w:r w:rsidR="00B16F65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</w:t>
          </w:r>
          <w:r w:rsidR="00F40F67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                </w:t>
          </w:r>
          <w:r w:rsidR="00B16F65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3α3</w:t>
          </w: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17"/>
  </w:num>
  <w:num w:numId="11">
    <w:abstractNumId w:val="19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24A71"/>
    <w:rsid w:val="00031E7C"/>
    <w:rsid w:val="000365DF"/>
    <w:rsid w:val="0004661A"/>
    <w:rsid w:val="0004764F"/>
    <w:rsid w:val="000477CA"/>
    <w:rsid w:val="00074B13"/>
    <w:rsid w:val="000906E5"/>
    <w:rsid w:val="000C1644"/>
    <w:rsid w:val="000C4C2B"/>
    <w:rsid w:val="000E0754"/>
    <w:rsid w:val="000F3B9B"/>
    <w:rsid w:val="00103547"/>
    <w:rsid w:val="00103646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7185"/>
    <w:rsid w:val="00163534"/>
    <w:rsid w:val="0016720D"/>
    <w:rsid w:val="0017027B"/>
    <w:rsid w:val="00176107"/>
    <w:rsid w:val="001834FF"/>
    <w:rsid w:val="001A3AC9"/>
    <w:rsid w:val="001C0BC3"/>
    <w:rsid w:val="001D46B6"/>
    <w:rsid w:val="00215518"/>
    <w:rsid w:val="00234212"/>
    <w:rsid w:val="002415E6"/>
    <w:rsid w:val="00247D71"/>
    <w:rsid w:val="00254712"/>
    <w:rsid w:val="0025519C"/>
    <w:rsid w:val="00255FA9"/>
    <w:rsid w:val="00260B60"/>
    <w:rsid w:val="002615CD"/>
    <w:rsid w:val="00266CC5"/>
    <w:rsid w:val="00267407"/>
    <w:rsid w:val="00274FCA"/>
    <w:rsid w:val="00281DD5"/>
    <w:rsid w:val="00294838"/>
    <w:rsid w:val="00295DF2"/>
    <w:rsid w:val="002A53A8"/>
    <w:rsid w:val="002A60F5"/>
    <w:rsid w:val="002B2E38"/>
    <w:rsid w:val="002B7E02"/>
    <w:rsid w:val="002C1E2E"/>
    <w:rsid w:val="002C32B7"/>
    <w:rsid w:val="002C32EF"/>
    <w:rsid w:val="002D16C6"/>
    <w:rsid w:val="002D6616"/>
    <w:rsid w:val="002E1EA0"/>
    <w:rsid w:val="002E4053"/>
    <w:rsid w:val="002E4185"/>
    <w:rsid w:val="00301DE4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39EC"/>
    <w:rsid w:val="003E0770"/>
    <w:rsid w:val="003E3F0D"/>
    <w:rsid w:val="003E5B44"/>
    <w:rsid w:val="003E676F"/>
    <w:rsid w:val="003E78EB"/>
    <w:rsid w:val="00406163"/>
    <w:rsid w:val="00407290"/>
    <w:rsid w:val="00411040"/>
    <w:rsid w:val="0041246B"/>
    <w:rsid w:val="00412EF0"/>
    <w:rsid w:val="004154D6"/>
    <w:rsid w:val="00416DCA"/>
    <w:rsid w:val="00422633"/>
    <w:rsid w:val="004279F3"/>
    <w:rsid w:val="004350DB"/>
    <w:rsid w:val="00435CAA"/>
    <w:rsid w:val="00441A6A"/>
    <w:rsid w:val="00444611"/>
    <w:rsid w:val="004449CB"/>
    <w:rsid w:val="00460CF2"/>
    <w:rsid w:val="00467DB2"/>
    <w:rsid w:val="00470F80"/>
    <w:rsid w:val="0047606D"/>
    <w:rsid w:val="004761C2"/>
    <w:rsid w:val="00481906"/>
    <w:rsid w:val="00490CD4"/>
    <w:rsid w:val="00491195"/>
    <w:rsid w:val="00492201"/>
    <w:rsid w:val="00494A11"/>
    <w:rsid w:val="004C13C7"/>
    <w:rsid w:val="004C59FC"/>
    <w:rsid w:val="004C789F"/>
    <w:rsid w:val="004D11B2"/>
    <w:rsid w:val="004F1A87"/>
    <w:rsid w:val="004F1F5C"/>
    <w:rsid w:val="004F23F0"/>
    <w:rsid w:val="004F4764"/>
    <w:rsid w:val="004F6F3B"/>
    <w:rsid w:val="00501F94"/>
    <w:rsid w:val="00512B01"/>
    <w:rsid w:val="005207AB"/>
    <w:rsid w:val="00530763"/>
    <w:rsid w:val="00530AC2"/>
    <w:rsid w:val="00546247"/>
    <w:rsid w:val="00546CAB"/>
    <w:rsid w:val="005600E6"/>
    <w:rsid w:val="0056644D"/>
    <w:rsid w:val="00566D09"/>
    <w:rsid w:val="0057457B"/>
    <w:rsid w:val="00575BA2"/>
    <w:rsid w:val="005813CE"/>
    <w:rsid w:val="005939B8"/>
    <w:rsid w:val="005B5103"/>
    <w:rsid w:val="005B54F6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33E3B"/>
    <w:rsid w:val="00637EB7"/>
    <w:rsid w:val="00644011"/>
    <w:rsid w:val="00644BCA"/>
    <w:rsid w:val="006502E2"/>
    <w:rsid w:val="00676765"/>
    <w:rsid w:val="006831FA"/>
    <w:rsid w:val="006833C5"/>
    <w:rsid w:val="006A10C4"/>
    <w:rsid w:val="006A26D1"/>
    <w:rsid w:val="006A394D"/>
    <w:rsid w:val="006A4466"/>
    <w:rsid w:val="006A6CB1"/>
    <w:rsid w:val="006B3276"/>
    <w:rsid w:val="006C0F6E"/>
    <w:rsid w:val="006C12BF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32215"/>
    <w:rsid w:val="00740A2A"/>
    <w:rsid w:val="00741B83"/>
    <w:rsid w:val="007628F0"/>
    <w:rsid w:val="00763ED3"/>
    <w:rsid w:val="007774BF"/>
    <w:rsid w:val="007847E8"/>
    <w:rsid w:val="00786308"/>
    <w:rsid w:val="007A0E15"/>
    <w:rsid w:val="007B0B04"/>
    <w:rsid w:val="007B4971"/>
    <w:rsid w:val="007C1C6A"/>
    <w:rsid w:val="007C1DB2"/>
    <w:rsid w:val="007C3E47"/>
    <w:rsid w:val="007E7E7E"/>
    <w:rsid w:val="008064DF"/>
    <w:rsid w:val="008213CF"/>
    <w:rsid w:val="008246D7"/>
    <w:rsid w:val="00825674"/>
    <w:rsid w:val="00825C3D"/>
    <w:rsid w:val="00834166"/>
    <w:rsid w:val="00843F97"/>
    <w:rsid w:val="00852717"/>
    <w:rsid w:val="00882910"/>
    <w:rsid w:val="008861D7"/>
    <w:rsid w:val="00897738"/>
    <w:rsid w:val="008A0708"/>
    <w:rsid w:val="008B4D99"/>
    <w:rsid w:val="008B6C1C"/>
    <w:rsid w:val="008D15DD"/>
    <w:rsid w:val="008D3A69"/>
    <w:rsid w:val="00904081"/>
    <w:rsid w:val="00922409"/>
    <w:rsid w:val="00922D40"/>
    <w:rsid w:val="0092743D"/>
    <w:rsid w:val="0093059D"/>
    <w:rsid w:val="009550B1"/>
    <w:rsid w:val="009564D3"/>
    <w:rsid w:val="00964968"/>
    <w:rsid w:val="009A7E78"/>
    <w:rsid w:val="009B6B06"/>
    <w:rsid w:val="009B6BFF"/>
    <w:rsid w:val="009C3173"/>
    <w:rsid w:val="009C3262"/>
    <w:rsid w:val="009D25FC"/>
    <w:rsid w:val="009E0049"/>
    <w:rsid w:val="009E309E"/>
    <w:rsid w:val="00A047E2"/>
    <w:rsid w:val="00A11E1A"/>
    <w:rsid w:val="00A16781"/>
    <w:rsid w:val="00A35E09"/>
    <w:rsid w:val="00A37E1D"/>
    <w:rsid w:val="00A40080"/>
    <w:rsid w:val="00A45A76"/>
    <w:rsid w:val="00A46230"/>
    <w:rsid w:val="00A61EC7"/>
    <w:rsid w:val="00A6791B"/>
    <w:rsid w:val="00A814FF"/>
    <w:rsid w:val="00A81A6A"/>
    <w:rsid w:val="00A9493D"/>
    <w:rsid w:val="00AA5E1F"/>
    <w:rsid w:val="00AB040A"/>
    <w:rsid w:val="00AB2F3D"/>
    <w:rsid w:val="00AB488F"/>
    <w:rsid w:val="00AB55D8"/>
    <w:rsid w:val="00B01556"/>
    <w:rsid w:val="00B05C4E"/>
    <w:rsid w:val="00B16F65"/>
    <w:rsid w:val="00B23E30"/>
    <w:rsid w:val="00B63BB5"/>
    <w:rsid w:val="00B64900"/>
    <w:rsid w:val="00B71454"/>
    <w:rsid w:val="00B722CD"/>
    <w:rsid w:val="00B867C7"/>
    <w:rsid w:val="00B91B3F"/>
    <w:rsid w:val="00B9724A"/>
    <w:rsid w:val="00BA0622"/>
    <w:rsid w:val="00BA1562"/>
    <w:rsid w:val="00BA2F92"/>
    <w:rsid w:val="00BB2AC8"/>
    <w:rsid w:val="00BB2B85"/>
    <w:rsid w:val="00BC36A1"/>
    <w:rsid w:val="00BE1446"/>
    <w:rsid w:val="00BE650B"/>
    <w:rsid w:val="00BF189A"/>
    <w:rsid w:val="00BF2673"/>
    <w:rsid w:val="00C060CE"/>
    <w:rsid w:val="00C10F3F"/>
    <w:rsid w:val="00C11C90"/>
    <w:rsid w:val="00C1416A"/>
    <w:rsid w:val="00C212D5"/>
    <w:rsid w:val="00C341CB"/>
    <w:rsid w:val="00C37DC8"/>
    <w:rsid w:val="00C42B4A"/>
    <w:rsid w:val="00C462D6"/>
    <w:rsid w:val="00C62637"/>
    <w:rsid w:val="00C6773A"/>
    <w:rsid w:val="00C77F68"/>
    <w:rsid w:val="00C80D82"/>
    <w:rsid w:val="00C844B7"/>
    <w:rsid w:val="00C8511D"/>
    <w:rsid w:val="00CA3F5A"/>
    <w:rsid w:val="00CA6EC9"/>
    <w:rsid w:val="00CB5C9F"/>
    <w:rsid w:val="00CC0FF8"/>
    <w:rsid w:val="00CC2D13"/>
    <w:rsid w:val="00CC5EB9"/>
    <w:rsid w:val="00CD1E05"/>
    <w:rsid w:val="00CD2843"/>
    <w:rsid w:val="00CD4DB6"/>
    <w:rsid w:val="00CD7328"/>
    <w:rsid w:val="00CD7853"/>
    <w:rsid w:val="00CF1EA6"/>
    <w:rsid w:val="00CF20EB"/>
    <w:rsid w:val="00CF2349"/>
    <w:rsid w:val="00CF2A4E"/>
    <w:rsid w:val="00D000E8"/>
    <w:rsid w:val="00D07B28"/>
    <w:rsid w:val="00D3121C"/>
    <w:rsid w:val="00D36E71"/>
    <w:rsid w:val="00D41A57"/>
    <w:rsid w:val="00D46D74"/>
    <w:rsid w:val="00D63145"/>
    <w:rsid w:val="00D64011"/>
    <w:rsid w:val="00D819C0"/>
    <w:rsid w:val="00D833EC"/>
    <w:rsid w:val="00D860AF"/>
    <w:rsid w:val="00D937A5"/>
    <w:rsid w:val="00DA4FB1"/>
    <w:rsid w:val="00DC2B04"/>
    <w:rsid w:val="00DC5801"/>
    <w:rsid w:val="00DC6F11"/>
    <w:rsid w:val="00DD0FB4"/>
    <w:rsid w:val="00DD2F71"/>
    <w:rsid w:val="00DD71BF"/>
    <w:rsid w:val="00DF37D2"/>
    <w:rsid w:val="00E07C73"/>
    <w:rsid w:val="00E20E19"/>
    <w:rsid w:val="00E24A15"/>
    <w:rsid w:val="00E338D0"/>
    <w:rsid w:val="00E3573B"/>
    <w:rsid w:val="00E406E4"/>
    <w:rsid w:val="00E43F71"/>
    <w:rsid w:val="00E46BF8"/>
    <w:rsid w:val="00E47ADD"/>
    <w:rsid w:val="00E71BED"/>
    <w:rsid w:val="00E726E3"/>
    <w:rsid w:val="00E94195"/>
    <w:rsid w:val="00E95976"/>
    <w:rsid w:val="00EA1325"/>
    <w:rsid w:val="00EA42D5"/>
    <w:rsid w:val="00EB3AC1"/>
    <w:rsid w:val="00EE2BA9"/>
    <w:rsid w:val="00EF15AF"/>
    <w:rsid w:val="00EF261E"/>
    <w:rsid w:val="00F03242"/>
    <w:rsid w:val="00F03CE7"/>
    <w:rsid w:val="00F11041"/>
    <w:rsid w:val="00F1328D"/>
    <w:rsid w:val="00F23FA9"/>
    <w:rsid w:val="00F40948"/>
    <w:rsid w:val="00F40F67"/>
    <w:rsid w:val="00F609C1"/>
    <w:rsid w:val="00F6124D"/>
    <w:rsid w:val="00F6314E"/>
    <w:rsid w:val="00F64AC4"/>
    <w:rsid w:val="00F72DF3"/>
    <w:rsid w:val="00F83C07"/>
    <w:rsid w:val="00F9164A"/>
    <w:rsid w:val="00F91F46"/>
    <w:rsid w:val="00F938AE"/>
    <w:rsid w:val="00FA5205"/>
    <w:rsid w:val="00FA7BF4"/>
    <w:rsid w:val="00FB0DE6"/>
    <w:rsid w:val="00FC52C0"/>
    <w:rsid w:val="00FC59F5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70D8-DF6B-4F34-87B4-C259D1F4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5FE3FA-5A66-48D9-A0C7-2CAF89E5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763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11</cp:revision>
  <cp:lastPrinted>2016-11-03T08:24:00Z</cp:lastPrinted>
  <dcterms:created xsi:type="dcterms:W3CDTF">2016-10-17T09:17:00Z</dcterms:created>
  <dcterms:modified xsi:type="dcterms:W3CDTF">2017-03-09T09:01:00Z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