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77777777" w:rsidR="007B4971" w:rsidRPr="003B31A2" w:rsidRDefault="007B4971" w:rsidP="00150A57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Pr="00150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Επιλογή1"/>
            <w:r w:rsidRPr="00150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C4B90">
              <w:rPr>
                <w:rFonts w:ascii="Tahoma" w:hAnsi="Tahoma" w:cs="Tahoma"/>
                <w:sz w:val="16"/>
                <w:szCs w:val="16"/>
              </w:rPr>
            </w:r>
            <w:r w:rsidR="006C4B9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70C607C8" w:rsidR="003748B1" w:rsidRPr="00C8511D" w:rsidRDefault="007E6D18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6D18">
              <w:rPr>
                <w:rFonts w:ascii="Tahoma" w:hAnsi="Tahoma" w:cs="Tahoma"/>
                <w:b/>
                <w:bCs/>
                <w:sz w:val="16"/>
                <w:szCs w:val="16"/>
              </w:rPr>
              <w:t>Υπεύθυνος</w:t>
            </w:r>
            <w:r w:rsidR="008450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Ενημέρωσης και Δημοσιότητας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77777777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77777777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0E6A677B" w:rsidR="003748B1" w:rsidRPr="000E0754" w:rsidRDefault="007E6D18" w:rsidP="005562B8">
            <w:pPr>
              <w:rPr>
                <w:rFonts w:ascii="Tahoma" w:hAnsi="Tahoma" w:cs="Tahoma"/>
                <w:sz w:val="16"/>
                <w:szCs w:val="16"/>
              </w:rPr>
            </w:pPr>
            <w:r w:rsidRPr="007E6D18">
              <w:rPr>
                <w:rFonts w:ascii="Tahoma" w:hAnsi="Tahoma" w:cs="Tahoma"/>
                <w:bCs/>
                <w:sz w:val="16"/>
                <w:szCs w:val="16"/>
              </w:rPr>
              <w:t xml:space="preserve">Ο υπεύθυνος για τον σχεδιασμό, την οργάνωση, την παρακολούθηση και την αξιολόγηση θεμάτων </w:t>
            </w:r>
            <w:r w:rsidR="008450FF">
              <w:rPr>
                <w:rFonts w:ascii="Tahoma" w:hAnsi="Tahoma" w:cs="Tahoma"/>
                <w:bCs/>
                <w:sz w:val="16"/>
                <w:szCs w:val="16"/>
              </w:rPr>
              <w:t>ενημέρωσης και δημοσιότητας</w:t>
            </w:r>
            <w:r w:rsidRPr="007E6D18">
              <w:rPr>
                <w:rFonts w:ascii="Tahoma" w:hAnsi="Tahoma" w:cs="Tahoma"/>
                <w:bCs/>
                <w:sz w:val="16"/>
                <w:szCs w:val="16"/>
              </w:rPr>
              <w:t xml:space="preserve"> του Προγράμματος (σύμφωνα με τον Κανονισμό </w:t>
            </w:r>
            <w:r w:rsidR="005562B8">
              <w:rPr>
                <w:rFonts w:ascii="Tahoma" w:hAnsi="Tahoma" w:cs="Tahoma"/>
                <w:bCs/>
                <w:sz w:val="16"/>
                <w:szCs w:val="16"/>
              </w:rPr>
              <w:t>508/2014</w:t>
            </w:r>
            <w:r w:rsidRPr="007E6D18">
              <w:rPr>
                <w:rFonts w:ascii="Tahoma" w:hAnsi="Tahoma" w:cs="Tahoma"/>
                <w:bCs/>
                <w:sz w:val="16"/>
                <w:szCs w:val="16"/>
              </w:rPr>
              <w:t>), εισηγούμενος για τα παραπάνω θέματα στον Προϊστάμενο.</w:t>
            </w:r>
          </w:p>
        </w:tc>
      </w:tr>
    </w:tbl>
    <w:p w14:paraId="7C9DD422" w14:textId="77777777" w:rsidR="003748B1" w:rsidRDefault="003748B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61"/>
      </w:tblGrid>
      <w:tr w:rsidR="003748B1" w:rsidRPr="009550B1" w14:paraId="7C9DD424" w14:textId="77777777" w:rsidTr="00A11E1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4350DB">
        <w:trPr>
          <w:trHeight w:val="171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3A7A524" w14:textId="5A8E7F68" w:rsidR="003E46A1" w:rsidRPr="003E46A1" w:rsidRDefault="003E46A1" w:rsidP="00BF0C9E">
            <w:pPr>
              <w:numPr>
                <w:ilvl w:val="0"/>
                <w:numId w:val="23"/>
              </w:numPr>
              <w:spacing w:before="6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Κατάρτιση και εισήγηση της στρατηγικής επικοινωνίας του ΕΠ </w:t>
            </w:r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σύμφωνα με τις κατευθύνσεις της ΕΑΣ,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καθώς και των τροποποιήσεων αυτής.</w:t>
            </w:r>
          </w:p>
          <w:p w14:paraId="61773B74" w14:textId="05A768E9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Προετοιμασία του υλικού για την ενημέρωση της </w:t>
            </w:r>
            <w:proofErr w:type="spellStart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 σε σχέση με την πρόοδο της στρατηγικής επικοινωνίας, την ανάλυση των αποτελεσμάτων της και τις σχεδιαζόμενες για το επόμενο έτος δράσεις πληροφόρησης και επικοινωνίας.</w:t>
            </w:r>
          </w:p>
          <w:p w14:paraId="3630C821" w14:textId="5A557CD4" w:rsid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Οργάνωση και παρακολούθηση των ενεργειών </w:t>
            </w:r>
            <w:r w:rsidR="00BD4FC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ενημέρωσης και δημοσιότητας του ΕΠ, 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με στόχο την όσο το δυνατόν ευρύτερη διάδοση πληροφοριών προς τους δυνητικούς Δικαιούχους</w:t>
            </w:r>
            <w:r w:rsidR="00BD4FC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τις ευκαιρίες χρηματοδότησής τους από το ΕΠ.</w:t>
            </w:r>
          </w:p>
          <w:p w14:paraId="4E9D6A5D" w14:textId="5CCDE9B7" w:rsidR="00C00E70" w:rsidRDefault="00C00E70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ότι τα μέτρα ενημέρωσης και δημοσιοποίησης αποσκοπούν στην ευρύτερη δυνατή κάλυψη από τα μέσα μαζικής ενημέρωσης με τη χρησιμοποίηση διαφόρων μορφών και μεθόδων επικοινωνίας στο κατάλληλο επίπεδο.</w:t>
            </w:r>
          </w:p>
          <w:p w14:paraId="1CA2C72E" w14:textId="577883A3" w:rsidR="00BD4FCC" w:rsidRPr="003E46A1" w:rsidRDefault="00BD4FCC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 δημοσιοποίηση του ρόλου και των επιτευγμάτων του Ευρωπαϊκού Ταμείου Θάλασσας και Αλιείας.</w:t>
            </w:r>
          </w:p>
          <w:p w14:paraId="087A5E8D" w14:textId="3AC15F60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Σχεδιασμός, σύνταξη και παραγωγή οδηγών και γενικά πληροφοριακού υλικού (φυλλάδια, αφίσες, ενημερωτικά δελτία κ.λπ.) για τους δυνητικούς δικαιούχους και το κοι</w:t>
            </w:r>
            <w:r w:rsidR="005321B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νό, σε συνεργασία με τη Μονάδα Δ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με εξωτερικούς συνεργάτες δημοσιότητας. Μέριμνα για τη διάθεση επικοινωνιακού υλικού </w:t>
            </w:r>
            <w:proofErr w:type="spellStart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προσβάσιμου</w:t>
            </w:r>
            <w:proofErr w:type="spellEnd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άτομα με αναπηρία.</w:t>
            </w:r>
          </w:p>
          <w:p w14:paraId="598A026A" w14:textId="77777777" w:rsid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Κατάρτιση / παροχή οδηγιών, κατευθύνσεων και υποδειγμάτων (και σε ηλεκτρονική μορφή) στους δικαιούχους και τους ΕΦ του ΕΠ για θέματα Π&amp;Ε και σηματοδότησης έργων. Υποστήριξη των δικαιούχων στην οργάνωση και υλοποίηση της δημοσιότητας στις δράσεις τους.</w:t>
            </w:r>
          </w:p>
          <w:p w14:paraId="7FBBA86E" w14:textId="300297B0" w:rsidR="00857842" w:rsidRDefault="00857842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Εξασφάλιση της συμμετοχής των ακόλουθων φορέων στις δραστηριότητες Ε&amp;Δ:</w:t>
            </w:r>
          </w:p>
          <w:p w14:paraId="6E820CFB" w14:textId="372117E7" w:rsidR="00857842" w:rsidRDefault="00857842" w:rsidP="00BF0C9E">
            <w:pPr>
              <w:pStyle w:val="ae"/>
              <w:numPr>
                <w:ilvl w:val="0"/>
                <w:numId w:val="24"/>
              </w:numPr>
              <w:spacing w:before="120" w:after="120"/>
              <w:ind w:left="1452" w:hanging="709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εταίρων που αναφέρονται στο </w:t>
            </w:r>
            <w:r w:rsidR="00F542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άρθρο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5 του κανονισμού 1303/2013</w:t>
            </w:r>
          </w:p>
          <w:p w14:paraId="25CF4DF4" w14:textId="40D641C5" w:rsidR="00857842" w:rsidRDefault="00857842" w:rsidP="00BF0C9E">
            <w:pPr>
              <w:pStyle w:val="ae"/>
              <w:numPr>
                <w:ilvl w:val="0"/>
                <w:numId w:val="24"/>
              </w:numPr>
              <w:spacing w:before="120" w:after="120"/>
              <w:ind w:left="1452" w:hanging="709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 κέντρων ενημέρωσης για την Ευρώπη καθώς και των γραφε</w:t>
            </w:r>
            <w:r w:rsidR="00BF0C9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ίων και αντιπροσωπειών της Επιτροπής στα κράτη-μέλη</w:t>
            </w:r>
          </w:p>
          <w:p w14:paraId="7B228C78" w14:textId="375D6739" w:rsidR="00857842" w:rsidRPr="00BF0C9E" w:rsidRDefault="00BF0C9E" w:rsidP="00857842">
            <w:pPr>
              <w:pStyle w:val="ae"/>
              <w:numPr>
                <w:ilvl w:val="0"/>
                <w:numId w:val="24"/>
              </w:numPr>
              <w:spacing w:before="120" w:after="120"/>
              <w:ind w:left="1452" w:hanging="709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 εκπαιδευτικών και ερευνητικών ιδρυμάτων.</w:t>
            </w:r>
          </w:p>
          <w:p w14:paraId="1E8B8962" w14:textId="7280E389" w:rsid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 </w:t>
            </w:r>
            <w:r w:rsidR="005321B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δημιουργία, 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διαχείριση και </w:t>
            </w:r>
            <w:proofErr w:type="spellStart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επικαιροποίηση</w:t>
            </w:r>
            <w:proofErr w:type="spellEnd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του περιεχομένου του διαδικτυακού τόπου του ΕΠ και ιδιαίτερα των στοιχείων </w:t>
            </w:r>
            <w:r w:rsidR="005321B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εφαρμογής 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ΕΠ, συμπεριλαμβανομένων και των βασικών επιτευγμάτων του.</w:t>
            </w:r>
          </w:p>
          <w:p w14:paraId="55A5F53B" w14:textId="7E28A0BE" w:rsidR="005321BC" w:rsidRPr="003E46A1" w:rsidRDefault="005321BC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ότι ειδικό τμήμα του διαδικτυακού τόπου περιέχει μια σύνοψη των πράξεων στον τομέα της καινοτομίας και της οικολογικής καινοτομίας.</w:t>
            </w:r>
          </w:p>
          <w:p w14:paraId="6A222527" w14:textId="01FAAC69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 συγκέντρωση και παρουσίαση ετησίως παραδειγμάτων πράξεων του ΕΠ στον διαδικτυακό του τόπο, </w:t>
            </w:r>
            <w:proofErr w:type="spellStart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προσβάσιμου</w:t>
            </w:r>
            <w:proofErr w:type="spellEnd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μέσω του ενιαίου διαδικτυακού τόπου </w:t>
            </w:r>
            <w:r w:rsidR="005321B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ΕΠ.</w:t>
            </w:r>
          </w:p>
          <w:p w14:paraId="000F9E1E" w14:textId="061C1E1B" w:rsidR="005321BC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την τήρηση και ηλεκτρονική δημοσίευση καταλόγου Πράξεων του ΕΠ</w:t>
            </w:r>
            <w:r w:rsid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</w:t>
            </w:r>
            <w:proofErr w:type="spellStart"/>
            <w:r w:rsid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μορφότυπο</w:t>
            </w:r>
            <w:proofErr w:type="spellEnd"/>
            <w:r w:rsid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857842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CSV</w:t>
            </w:r>
            <w:r w:rsidR="00857842"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 </w:t>
            </w:r>
            <w:r w:rsidR="00857842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XML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ο οποίος ενημερώνεται τουλάχιστον κάθε έξι μήνες, </w:t>
            </w:r>
            <w:proofErr w:type="spellStart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προσβάσιμου</w:t>
            </w:r>
            <w:proofErr w:type="spellEnd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μέσω του ενιαί</w:t>
            </w:r>
            <w:r w:rsidR="00E5512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ου διαδικτυακού τόπου  του Ε</w:t>
            </w:r>
            <w:r w:rsidR="00C00E7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Π.</w:t>
            </w:r>
          </w:p>
          <w:p w14:paraId="308D93A5" w14:textId="5E61B641" w:rsidR="00C00E70" w:rsidRDefault="00C00E70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Διασφάλιση ότι είναι διαθέσιμος για το κοινό ένας συνοπτικός κατάλογος μέτρων για την εξασφάλιση της συμμόρφωσης με την Κο</w:t>
            </w:r>
            <w:r w:rsidR="003110C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νή Αλιευτική </w:t>
            </w:r>
            <w:r w:rsidR="003110C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Πολιτική, συμπεριλαμβανομένων των περιπτώσεων μη συμμόρφωσης από κράτη μέλη ή δικαιούχους, καθώς και των επανορθωτικών δράσεων.</w:t>
            </w:r>
          </w:p>
          <w:p w14:paraId="0A0F2359" w14:textId="1AF306B2" w:rsidR="005321BC" w:rsidRPr="003E46A1" w:rsidRDefault="005321BC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Διοργάνωση μιας μεγάλης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ενημερωτικής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εκδήλωσης για τη δημοσιοποίηση έναρξης 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</w:t>
            </w:r>
            <w:r w:rsidR="00C00E7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</w:t>
            </w:r>
          </w:p>
          <w:p w14:paraId="3AF83DFB" w14:textId="5D135793" w:rsidR="003E46A1" w:rsidRPr="003E46A1" w:rsidRDefault="005321BC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Διοργάνωση τουλάχιστον δύο φορές κατά τη διάρκεια της ΠΠ ενημερωτικής εκστρατείας που προβάλλει τις ευκαιρίες χρηματοδότησης και τις επιδιωκόμενες στρατηγικές και παρουσιάζει τα επιτεύγματα του ΕΠ.</w:t>
            </w:r>
          </w:p>
          <w:p w14:paraId="606EA6D7" w14:textId="7CD3135B" w:rsidR="003E46A1" w:rsidRPr="00857842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 διαχείριση και </w:t>
            </w:r>
            <w:proofErr w:type="spellStart"/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επικαιροποίηση</w:t>
            </w:r>
            <w:proofErr w:type="spellEnd"/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του περιεχομένου </w:t>
            </w:r>
            <w:r w:rsidR="001C574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διαδικτυακής πύλης του ΕΣΠΑ</w:t>
            </w:r>
            <w:r w:rsidRPr="006E628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 </w:t>
            </w:r>
            <w:proofErr w:type="spellStart"/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επικαιροποιημένα</w:t>
            </w:r>
            <w:proofErr w:type="spellEnd"/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δεδομένα του ΕΠ (προσκλήσεις/ προκηρύξεις, ανακοινώσεις, παραδείγματα έργων, χαρακτηριστικά επιτεύγματα ΕΠ κλπ.) με τρόπο σύντομο, εύληπτο και σαφή για το ευρύ κοινό.</w:t>
            </w:r>
          </w:p>
          <w:p w14:paraId="10036C16" w14:textId="77777777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Ενημέρωση των Μονάδων της ΕΥΔ και των ΕΦ για τους κανόνες Π&amp;Ε και συνεργασία με αυτές για να εξασφαλιστεί η τήρηση των σχετικών υποχρεώσεων από την ΕΥΔ, τους ΕΦ και τους Δικαιούχους.</w:t>
            </w:r>
          </w:p>
          <w:p w14:paraId="7E6D8E2A" w14:textId="7854952E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την προβολή του εμβλήματος της Ένωσης στις εγκαταστάσεις της ΕΥΔ.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14:paraId="4BF3EC40" w14:textId="77777777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εθνικό και κοινοτικό δίκτυο υπευθύνων πληροφόρησης και επικοινωνίας ΕΠ και σε σχετικές συναντήσεις.</w:t>
            </w:r>
          </w:p>
          <w:p w14:paraId="67BB2AFD" w14:textId="77777777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στις διαδικασίες πρόσληψης εξωτερικών Συμβούλων Δημοσιότητας (προδιαγραφές για προκήρυξη κλπ).</w:t>
            </w:r>
          </w:p>
          <w:p w14:paraId="126D20A7" w14:textId="77777777" w:rsidR="003E46A1" w:rsidRPr="003E46A1" w:rsidRDefault="003E46A1" w:rsidP="00BF0C9E">
            <w:pPr>
              <w:numPr>
                <w:ilvl w:val="0"/>
                <w:numId w:val="23"/>
              </w:numPr>
              <w:spacing w:before="24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και συνεχής ενημέρωση αρχείου δράσεων Π&amp;Ε, π/υ, αποτίμησης και αξιολόγησης δράσεων, παραδειγμάτων έργων, καλών πρακτικών (φωτογραφιών, πολυμέσων κ.λπ.).</w:t>
            </w:r>
          </w:p>
          <w:p w14:paraId="7F8A59FE" w14:textId="77777777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τις άλλες Μονάδες της ΕΥΔ για την οργάνωση των τεχνικών συναντήσεων με την ΕΕ και την εισήγηση θεμάτων στην </w:t>
            </w:r>
            <w:proofErr w:type="spellStart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14:paraId="79AB4F5E" w14:textId="77777777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Παροχή στοιχείων για τις ετήσιες και την τελική έκθεση υλοποίησης του ΕΠ.</w:t>
            </w:r>
          </w:p>
          <w:p w14:paraId="3C10D125" w14:textId="150BC01C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την ενημέρωση του Υπουργείου,  της </w:t>
            </w:r>
            <w:proofErr w:type="spellStart"/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., της ΕΑΣ και της ΕΕ για το επικοινωνιακό σχέδιο, τα μέτ</w:t>
            </w:r>
            <w:r w:rsidR="00F22E35"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ρα Ε</w:t>
            </w:r>
            <w:r w:rsidRP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&amp;Δ που υλοποιούνται και τα μέσα επικοινωνίας που χρησιμοποιούνται.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14:paraId="6C3445FD" w14:textId="07625734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Συγκέντρωση και ενημέρωση επί των παρατηρήσεων που ενδεχομένως υποβάλλονται από άλλους εθνικούς ή κ</w:t>
            </w:r>
            <w:r w:rsidR="0085784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οινοτικούς φορείς για θέματα Ε&amp;Δ.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C6DFB0A" w14:textId="5007054E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</w:t>
            </w:r>
            <w:r w:rsidR="00C00E7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 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Γραφείο Τύπου </w:t>
            </w:r>
            <w:r w:rsidR="00C00E7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οικείου 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Υπουργείου.</w:t>
            </w:r>
          </w:p>
          <w:p w14:paraId="12447957" w14:textId="77777777" w:rsidR="003E46A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εκπόνησης μελετών, ερευνών, εμπειρογνωμοσυνών, εγχειριδίων διαδικασιών σχετικών με το αντικείμενό του.</w:t>
            </w:r>
          </w:p>
          <w:p w14:paraId="1666E19E" w14:textId="2DEB223F" w:rsid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επιτροπές και Ομάδες Εργασίας κ.λπ. που συγκροτούνται, κατά περίπτωση, στο πλαίσιο</w:t>
            </w:r>
            <w:r w:rsidR="00C00E7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λειτουργίας της ΕΥ</w:t>
            </w: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7C9DD444" w14:textId="02BBE1B1" w:rsidR="003748B1" w:rsidRPr="003E46A1" w:rsidRDefault="003E46A1" w:rsidP="00BF0C9E">
            <w:pPr>
              <w:numPr>
                <w:ilvl w:val="0"/>
                <w:numId w:val="23"/>
              </w:numPr>
              <w:spacing w:before="120" w:after="120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46A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</w:p>
        </w:tc>
      </w:tr>
    </w:tbl>
    <w:p w14:paraId="7C9DD446" w14:textId="77777777" w:rsidR="003748B1" w:rsidRDefault="003748B1" w:rsidP="00763ED3"/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48" w14:textId="77777777" w:rsidTr="006F427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7C9DD447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3748B1" w:rsidRPr="00371252" w14:paraId="7C9DD454" w14:textId="77777777" w:rsidTr="0057457B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623CD7" w14:textId="77777777" w:rsidR="003E46A1" w:rsidRDefault="003E46A1" w:rsidP="003E46A1">
            <w:pPr>
              <w:numPr>
                <w:ilvl w:val="0"/>
                <w:numId w:val="22"/>
              </w:numPr>
              <w:spacing w:before="60" w:after="60"/>
              <w:ind w:left="460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Υπηρεσίες Εθνικής Αρχής Συντονισμού</w:t>
            </w:r>
          </w:p>
          <w:p w14:paraId="19C50A4E" w14:textId="77777777" w:rsidR="003E46A1" w:rsidRDefault="003E46A1" w:rsidP="003E46A1">
            <w:pPr>
              <w:numPr>
                <w:ilvl w:val="0"/>
                <w:numId w:val="22"/>
              </w:numPr>
              <w:spacing w:before="60" w:after="60"/>
              <w:ind w:left="460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Ευρωπαϊκή Επιτροπή</w:t>
            </w:r>
          </w:p>
          <w:p w14:paraId="3729121A" w14:textId="77777777" w:rsidR="003E46A1" w:rsidRDefault="003E46A1" w:rsidP="003E46A1">
            <w:pPr>
              <w:numPr>
                <w:ilvl w:val="0"/>
                <w:numId w:val="22"/>
              </w:numPr>
              <w:spacing w:before="60" w:after="60"/>
              <w:ind w:left="460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Υπουργείο</w:t>
            </w:r>
          </w:p>
          <w:p w14:paraId="3DA83906" w14:textId="77777777" w:rsidR="003E46A1" w:rsidRDefault="003E46A1" w:rsidP="003E46A1">
            <w:pPr>
              <w:numPr>
                <w:ilvl w:val="0"/>
                <w:numId w:val="22"/>
              </w:numPr>
              <w:spacing w:before="60" w:after="60"/>
              <w:ind w:left="460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Υπεύθυνοι Πληροφόρησης &amp; Επικοινωνίας άλλων ΕΠ / άλλων κρατών</w:t>
            </w:r>
          </w:p>
          <w:p w14:paraId="79A08340" w14:textId="77777777" w:rsidR="003E46A1" w:rsidRDefault="003E46A1" w:rsidP="003E46A1">
            <w:pPr>
              <w:numPr>
                <w:ilvl w:val="0"/>
                <w:numId w:val="22"/>
              </w:numPr>
              <w:spacing w:before="60" w:after="60"/>
              <w:ind w:left="460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Ενδιάμεσοι Φορείς</w:t>
            </w:r>
          </w:p>
          <w:p w14:paraId="1DD839EB" w14:textId="77777777" w:rsidR="003E46A1" w:rsidRDefault="003E46A1" w:rsidP="003E46A1">
            <w:pPr>
              <w:numPr>
                <w:ilvl w:val="0"/>
                <w:numId w:val="22"/>
              </w:numPr>
              <w:spacing w:before="60" w:after="60"/>
              <w:ind w:left="460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Άλλοι Φορείς (εθνικές αρχές, κλαδικές &amp; επαγγελματικές ενώσεις, οικονομικοί και κοινωνικοί εταίροι, εκπαιδευτικά και ερευνητικά ιδρύματα, κέντρα πληροφόρησης ΕΕ)</w:t>
            </w:r>
          </w:p>
          <w:p w14:paraId="0B32B607" w14:textId="77777777" w:rsidR="003E46A1" w:rsidRDefault="003E46A1" w:rsidP="003E46A1">
            <w:pPr>
              <w:numPr>
                <w:ilvl w:val="0"/>
                <w:numId w:val="22"/>
              </w:numPr>
              <w:spacing w:before="60" w:after="60"/>
              <w:ind w:left="460" w:hanging="284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Δικαιούχοι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14:paraId="7C9DD453" w14:textId="337DF339" w:rsidR="003748B1" w:rsidRPr="00074B13" w:rsidRDefault="003E46A1" w:rsidP="003E46A1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Εξωτερικοί συνεργάτες/σύμβουλοι δημοσιότητας</w:t>
            </w:r>
          </w:p>
        </w:tc>
      </w:tr>
    </w:tbl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7C1AB95E" w:rsidR="00281DD5" w:rsidRPr="00391176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</w:t>
            </w:r>
            <w:r w:rsidR="00391176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ΟΣΟΝΤΑ ΚΑΛΥΨΗΣ ΘΕΣΗΣ ΕΡΓΑΣΙΑΣ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3B538ACF" w:rsidR="00281DD5" w:rsidRPr="00295DF2" w:rsidRDefault="00F05810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</w:t>
            </w:r>
            <w:r w:rsidR="00281DD5"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B5AACF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1F66B26D" w14:textId="4C2D940A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Α.Ε.Ι </w:t>
            </w:r>
            <w:r w:rsidRPr="00E46BF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ΠΕ</w:t>
            </w:r>
            <w:r w:rsidR="00F05810" w:rsidRPr="00F05810">
              <w:rPr>
                <w:rFonts w:ascii="Tahoma" w:hAnsi="Tahoma" w:cs="Tahoma"/>
                <w:sz w:val="18"/>
                <w:szCs w:val="18"/>
              </w:rPr>
              <w:t>/</w:t>
            </w:r>
            <w:r w:rsidR="00F05810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14:paraId="41D7B04D" w14:textId="77777777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14:paraId="0A93565D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14:paraId="5164DFD6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14:paraId="25EBFB79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14:paraId="691B058E" w14:textId="77777777" w:rsidR="00281DD5" w:rsidRPr="00791879" w:rsidRDefault="00281DD5" w:rsidP="0088168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CB1060E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3E422F63" w14:textId="77777777" w:rsidR="00281DD5" w:rsidRPr="00F05810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</w:p>
          <w:p w14:paraId="70D2510F" w14:textId="5CC8D288" w:rsidR="00F05810" w:rsidRDefault="00F05810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Γνώση ή/και εμπειρία σε θέματα επικοινωνίας/δημοσιότητας</w:t>
            </w:r>
          </w:p>
          <w:p w14:paraId="0C20BCD0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14:paraId="5EF834DA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73107F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5AF2E967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14:paraId="0B9511A3" w14:textId="22ADE576" w:rsidR="00F05810" w:rsidRPr="00F05810" w:rsidRDefault="00281DD5" w:rsidP="00F05810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791879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14:paraId="3CCEAD33" w14:textId="77777777" w:rsidR="00281DD5" w:rsidRPr="00791879" w:rsidRDefault="00281DD5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54CE72A5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</w:t>
            </w:r>
            <w:r w:rsidR="0039117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ΠΡΟΣΘΕΤΑ/ ΕΠΙΘΥΜΗΤΑ ΠΡΟΣΟΝΤΑ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3071DD3B" w14:textId="77777777" w:rsidR="00281DD5" w:rsidRPr="00791879" w:rsidRDefault="00281DD5" w:rsidP="000365DF">
            <w:pPr>
              <w:numPr>
                <w:ilvl w:val="0"/>
                <w:numId w:val="14"/>
              </w:numPr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14:paraId="1B40EAD7" w14:textId="77777777" w:rsidR="00281DD5" w:rsidRPr="00791879" w:rsidRDefault="00281DD5" w:rsidP="00881687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14:paraId="3ACBBAE6" w14:textId="19CAD47F" w:rsidR="00281DD5" w:rsidRPr="00857842" w:rsidRDefault="00281DD5" w:rsidP="00391176">
      <w:pPr>
        <w:overflowPunct/>
        <w:autoSpaceDE/>
        <w:autoSpaceDN/>
        <w:adjustRightInd/>
        <w:jc w:val="left"/>
        <w:textAlignment w:val="auto"/>
      </w:pPr>
    </w:p>
    <w:p w14:paraId="7C9DD456" w14:textId="77777777" w:rsidR="006502E2" w:rsidRDefault="006502E2" w:rsidP="00763ED3"/>
    <w:sectPr w:rsidR="006502E2" w:rsidSect="006E628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035BE" w14:textId="77777777" w:rsidR="00DB62BD" w:rsidRDefault="00DB62BD">
      <w:r>
        <w:separator/>
      </w:r>
    </w:p>
  </w:endnote>
  <w:endnote w:type="continuationSeparator" w:id="0">
    <w:p w14:paraId="77B0432F" w14:textId="77777777" w:rsidR="00DB62BD" w:rsidRDefault="00D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E3EA" w14:textId="77777777" w:rsidR="006E6288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6E6288" w:rsidRPr="00662F0B" w14:paraId="2A1F62B4" w14:textId="77777777" w:rsidTr="00BE65D1">
      <w:trPr>
        <w:jc w:val="center"/>
      </w:trPr>
      <w:tc>
        <w:tcPr>
          <w:tcW w:w="3383" w:type="dxa"/>
          <w:shd w:val="clear" w:color="auto" w:fill="auto"/>
        </w:tcPr>
        <w:p w14:paraId="76F65435" w14:textId="77777777" w:rsidR="006E6288" w:rsidRPr="00662F0B" w:rsidRDefault="006E6288" w:rsidP="00BE65D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63096B0A" w14:textId="1CBBEA8A" w:rsidR="006E6288" w:rsidRPr="00233335" w:rsidRDefault="006E6288" w:rsidP="00BE65D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6C4B90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7B5C4D26" w14:textId="77777777" w:rsidR="006E6288" w:rsidRPr="00662F0B" w:rsidRDefault="006E6288" w:rsidP="00BE65D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6C4B90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1F08A7F0" w14:textId="77777777" w:rsidR="006E6288" w:rsidRPr="00662F0B" w:rsidRDefault="006E6288" w:rsidP="00BE65D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111A55EE" wp14:editId="3A5F4A54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6BAF5709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2FB5" w14:textId="77777777" w:rsidR="00DB62BD" w:rsidRDefault="00DB62BD">
      <w:r>
        <w:separator/>
      </w:r>
    </w:p>
  </w:footnote>
  <w:footnote w:type="continuationSeparator" w:id="0">
    <w:p w14:paraId="3E032390" w14:textId="77777777" w:rsidR="00DB62BD" w:rsidRDefault="00DB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005D1A42" w:rsidR="00B867C7" w:rsidRPr="00DA4FB1" w:rsidRDefault="007E6D18" w:rsidP="006E6288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</w:t>
          </w:r>
          <w:r w:rsidR="008450FF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Ε </w:t>
          </w:r>
          <w:r w:rsidR="006E6288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4</w:t>
          </w:r>
          <w:r w:rsidR="008450FF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Υπεύθυνος Ενημέρωσης και Δημοσιότητας          </w:t>
          </w:r>
          <w:r w:rsidR="00595408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          3α</w:t>
          </w:r>
          <w:r w:rsidR="008450FF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2</w:t>
          </w:r>
          <w:r w:rsidR="00B867C7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5C0021"/>
    <w:multiLevelType w:val="hybridMultilevel"/>
    <w:tmpl w:val="475CF7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9106175"/>
    <w:multiLevelType w:val="hybridMultilevel"/>
    <w:tmpl w:val="9EDE332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2152B0"/>
    <w:multiLevelType w:val="hybridMultilevel"/>
    <w:tmpl w:val="D82ED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18"/>
  </w:num>
  <w:num w:numId="11">
    <w:abstractNumId w:val="21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13"/>
  </w:num>
  <w:num w:numId="17">
    <w:abstractNumId w:val="19"/>
  </w:num>
  <w:num w:numId="18">
    <w:abstractNumId w:val="6"/>
  </w:num>
  <w:num w:numId="19">
    <w:abstractNumId w:val="4"/>
  </w:num>
  <w:num w:numId="20">
    <w:abstractNumId w:val="16"/>
  </w:num>
  <w:num w:numId="21">
    <w:abstractNumId w:val="10"/>
  </w:num>
  <w:num w:numId="22">
    <w:abstractNumId w:val="14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13A85"/>
    <w:rsid w:val="00023474"/>
    <w:rsid w:val="00024A71"/>
    <w:rsid w:val="000365DF"/>
    <w:rsid w:val="0004661A"/>
    <w:rsid w:val="0004764F"/>
    <w:rsid w:val="000477CA"/>
    <w:rsid w:val="00074B13"/>
    <w:rsid w:val="000906E5"/>
    <w:rsid w:val="000C1644"/>
    <w:rsid w:val="000C4C2B"/>
    <w:rsid w:val="000E0754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7185"/>
    <w:rsid w:val="00163534"/>
    <w:rsid w:val="0016720D"/>
    <w:rsid w:val="0017027B"/>
    <w:rsid w:val="00176107"/>
    <w:rsid w:val="001834FF"/>
    <w:rsid w:val="001A3AC9"/>
    <w:rsid w:val="001C5748"/>
    <w:rsid w:val="001D46B6"/>
    <w:rsid w:val="00215518"/>
    <w:rsid w:val="00234212"/>
    <w:rsid w:val="002415E6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81DD5"/>
    <w:rsid w:val="00294838"/>
    <w:rsid w:val="00295DF2"/>
    <w:rsid w:val="002A53A8"/>
    <w:rsid w:val="002A60F5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110C8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1176"/>
    <w:rsid w:val="003960BB"/>
    <w:rsid w:val="003B12CD"/>
    <w:rsid w:val="003B33A9"/>
    <w:rsid w:val="003B4586"/>
    <w:rsid w:val="003D39EC"/>
    <w:rsid w:val="003E0770"/>
    <w:rsid w:val="003E3F0D"/>
    <w:rsid w:val="003E46A1"/>
    <w:rsid w:val="003E5B44"/>
    <w:rsid w:val="003E676F"/>
    <w:rsid w:val="003E78EB"/>
    <w:rsid w:val="00406163"/>
    <w:rsid w:val="00407290"/>
    <w:rsid w:val="00411040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C13C7"/>
    <w:rsid w:val="004C59FC"/>
    <w:rsid w:val="004C789F"/>
    <w:rsid w:val="004D11B2"/>
    <w:rsid w:val="004F1F5C"/>
    <w:rsid w:val="004F23F0"/>
    <w:rsid w:val="004F4764"/>
    <w:rsid w:val="004F6F3B"/>
    <w:rsid w:val="00501F94"/>
    <w:rsid w:val="00512B01"/>
    <w:rsid w:val="005207AB"/>
    <w:rsid w:val="00530763"/>
    <w:rsid w:val="00530AC2"/>
    <w:rsid w:val="005321BC"/>
    <w:rsid w:val="00546247"/>
    <w:rsid w:val="00546CAB"/>
    <w:rsid w:val="005562B8"/>
    <w:rsid w:val="005600E6"/>
    <w:rsid w:val="0056644D"/>
    <w:rsid w:val="00566D09"/>
    <w:rsid w:val="0057457B"/>
    <w:rsid w:val="00575BA2"/>
    <w:rsid w:val="005939B8"/>
    <w:rsid w:val="0059540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33E3B"/>
    <w:rsid w:val="00637EB7"/>
    <w:rsid w:val="00644011"/>
    <w:rsid w:val="006502E2"/>
    <w:rsid w:val="00676765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3452"/>
    <w:rsid w:val="006C4B90"/>
    <w:rsid w:val="006C6ECD"/>
    <w:rsid w:val="006C6F74"/>
    <w:rsid w:val="006E194D"/>
    <w:rsid w:val="006E5525"/>
    <w:rsid w:val="006E6288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628F0"/>
    <w:rsid w:val="00763ED3"/>
    <w:rsid w:val="007774BF"/>
    <w:rsid w:val="007847E8"/>
    <w:rsid w:val="00786308"/>
    <w:rsid w:val="007A0E15"/>
    <w:rsid w:val="007B0B04"/>
    <w:rsid w:val="007B4971"/>
    <w:rsid w:val="007C1C6A"/>
    <w:rsid w:val="007C1DB2"/>
    <w:rsid w:val="007C3E47"/>
    <w:rsid w:val="007E6D18"/>
    <w:rsid w:val="007E7E7E"/>
    <w:rsid w:val="008064DF"/>
    <w:rsid w:val="008213CF"/>
    <w:rsid w:val="008246D7"/>
    <w:rsid w:val="00825674"/>
    <w:rsid w:val="00825C3D"/>
    <w:rsid w:val="00834166"/>
    <w:rsid w:val="00840095"/>
    <w:rsid w:val="008450FF"/>
    <w:rsid w:val="00857842"/>
    <w:rsid w:val="00882910"/>
    <w:rsid w:val="008861D7"/>
    <w:rsid w:val="00897738"/>
    <w:rsid w:val="008A0708"/>
    <w:rsid w:val="008B4D99"/>
    <w:rsid w:val="008B6C1C"/>
    <w:rsid w:val="008D15DD"/>
    <w:rsid w:val="008D3A69"/>
    <w:rsid w:val="00904081"/>
    <w:rsid w:val="00922409"/>
    <w:rsid w:val="00922D40"/>
    <w:rsid w:val="0092743D"/>
    <w:rsid w:val="0093059D"/>
    <w:rsid w:val="009550B1"/>
    <w:rsid w:val="009564D3"/>
    <w:rsid w:val="00964968"/>
    <w:rsid w:val="009A7E78"/>
    <w:rsid w:val="009B6B06"/>
    <w:rsid w:val="009B6BFF"/>
    <w:rsid w:val="009B78EB"/>
    <w:rsid w:val="009C3173"/>
    <w:rsid w:val="009C3262"/>
    <w:rsid w:val="009D25FC"/>
    <w:rsid w:val="009E0049"/>
    <w:rsid w:val="009E309E"/>
    <w:rsid w:val="00A047E2"/>
    <w:rsid w:val="00A11E1A"/>
    <w:rsid w:val="00A16781"/>
    <w:rsid w:val="00A35E09"/>
    <w:rsid w:val="00A37E1D"/>
    <w:rsid w:val="00A40080"/>
    <w:rsid w:val="00A45A76"/>
    <w:rsid w:val="00A46230"/>
    <w:rsid w:val="00A61EC7"/>
    <w:rsid w:val="00A6791B"/>
    <w:rsid w:val="00A81A6A"/>
    <w:rsid w:val="00A9493D"/>
    <w:rsid w:val="00AA5E1F"/>
    <w:rsid w:val="00AB040A"/>
    <w:rsid w:val="00AB2F3D"/>
    <w:rsid w:val="00AB488F"/>
    <w:rsid w:val="00AB55D8"/>
    <w:rsid w:val="00B01556"/>
    <w:rsid w:val="00B05C4E"/>
    <w:rsid w:val="00B23E30"/>
    <w:rsid w:val="00B63BB5"/>
    <w:rsid w:val="00B64900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D4FCC"/>
    <w:rsid w:val="00BE6174"/>
    <w:rsid w:val="00BE650B"/>
    <w:rsid w:val="00BF0C9E"/>
    <w:rsid w:val="00BF189A"/>
    <w:rsid w:val="00BF2673"/>
    <w:rsid w:val="00C00E70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62412"/>
    <w:rsid w:val="00C77F68"/>
    <w:rsid w:val="00C80D82"/>
    <w:rsid w:val="00C844B7"/>
    <w:rsid w:val="00C8511D"/>
    <w:rsid w:val="00CA3F5A"/>
    <w:rsid w:val="00CA6EC9"/>
    <w:rsid w:val="00CC2D13"/>
    <w:rsid w:val="00CC5EB9"/>
    <w:rsid w:val="00CD1E05"/>
    <w:rsid w:val="00CD2843"/>
    <w:rsid w:val="00CD4DB6"/>
    <w:rsid w:val="00CD7328"/>
    <w:rsid w:val="00CF20EB"/>
    <w:rsid w:val="00CF2349"/>
    <w:rsid w:val="00CF2A4E"/>
    <w:rsid w:val="00D000E8"/>
    <w:rsid w:val="00D07B28"/>
    <w:rsid w:val="00D21A7B"/>
    <w:rsid w:val="00D3121C"/>
    <w:rsid w:val="00D41A57"/>
    <w:rsid w:val="00D46D74"/>
    <w:rsid w:val="00D63145"/>
    <w:rsid w:val="00D819C0"/>
    <w:rsid w:val="00D833EC"/>
    <w:rsid w:val="00D860AF"/>
    <w:rsid w:val="00D937A5"/>
    <w:rsid w:val="00DA1D18"/>
    <w:rsid w:val="00DA4FB1"/>
    <w:rsid w:val="00DB62BD"/>
    <w:rsid w:val="00DC2B04"/>
    <w:rsid w:val="00DC5801"/>
    <w:rsid w:val="00DC6F11"/>
    <w:rsid w:val="00DD0FB4"/>
    <w:rsid w:val="00DD2F71"/>
    <w:rsid w:val="00DD4B8E"/>
    <w:rsid w:val="00DD71BF"/>
    <w:rsid w:val="00DF37D2"/>
    <w:rsid w:val="00E07C73"/>
    <w:rsid w:val="00E20E19"/>
    <w:rsid w:val="00E24A15"/>
    <w:rsid w:val="00E338D0"/>
    <w:rsid w:val="00E3573B"/>
    <w:rsid w:val="00E406E4"/>
    <w:rsid w:val="00E43F71"/>
    <w:rsid w:val="00E46BF8"/>
    <w:rsid w:val="00E47ADD"/>
    <w:rsid w:val="00E5512B"/>
    <w:rsid w:val="00E71BED"/>
    <w:rsid w:val="00E726E3"/>
    <w:rsid w:val="00E94195"/>
    <w:rsid w:val="00E9519E"/>
    <w:rsid w:val="00E95976"/>
    <w:rsid w:val="00EA1325"/>
    <w:rsid w:val="00EA42D5"/>
    <w:rsid w:val="00EB3AC1"/>
    <w:rsid w:val="00EE2BA9"/>
    <w:rsid w:val="00EF15AF"/>
    <w:rsid w:val="00EF261E"/>
    <w:rsid w:val="00F03242"/>
    <w:rsid w:val="00F03CE7"/>
    <w:rsid w:val="00F05810"/>
    <w:rsid w:val="00F11041"/>
    <w:rsid w:val="00F1328D"/>
    <w:rsid w:val="00F22E35"/>
    <w:rsid w:val="00F23FA9"/>
    <w:rsid w:val="00F40948"/>
    <w:rsid w:val="00F54238"/>
    <w:rsid w:val="00F609C1"/>
    <w:rsid w:val="00F6124D"/>
    <w:rsid w:val="00F6314E"/>
    <w:rsid w:val="00F64AC4"/>
    <w:rsid w:val="00F72DF3"/>
    <w:rsid w:val="00F83C07"/>
    <w:rsid w:val="00F84EFD"/>
    <w:rsid w:val="00F9164A"/>
    <w:rsid w:val="00F91F46"/>
    <w:rsid w:val="00F938AE"/>
    <w:rsid w:val="00FA5205"/>
    <w:rsid w:val="00FA7BF4"/>
    <w:rsid w:val="00FB0DE6"/>
    <w:rsid w:val="00FC52C0"/>
    <w:rsid w:val="00FC59F5"/>
    <w:rsid w:val="00FD7A53"/>
    <w:rsid w:val="00FF1E88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85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85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70D8-DF6B-4F34-87B4-C259D1F4DBC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47910E-8250-4EA2-9827-8A90E855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5</cp:revision>
  <cp:lastPrinted>2016-11-04T10:48:00Z</cp:lastPrinted>
  <dcterms:created xsi:type="dcterms:W3CDTF">2016-11-03T11:20:00Z</dcterms:created>
  <dcterms:modified xsi:type="dcterms:W3CDTF">2017-03-09T09:00:00Z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